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31F0" w14:textId="77777777" w:rsidR="00A55B63" w:rsidRPr="00672CF3" w:rsidRDefault="00A55B63" w:rsidP="00A55B63">
      <w:pPr>
        <w:spacing w:line="360" w:lineRule="auto"/>
        <w:jc w:val="both"/>
        <w:rPr>
          <w:rFonts w:cs="Arial"/>
          <w:b/>
          <w:bCs/>
          <w:sz w:val="22"/>
          <w:szCs w:val="22"/>
          <w:lang w:val="en-US"/>
        </w:rPr>
      </w:pPr>
      <w:r w:rsidRPr="00672CF3">
        <w:rPr>
          <w:rFonts w:cs="Arial"/>
          <w:b/>
          <w:bCs/>
          <w:sz w:val="22"/>
          <w:szCs w:val="22"/>
          <w:lang w:val="en-US"/>
        </w:rPr>
        <w:t>Associations between multifocal electroretinogram (mfERG), standard automated perimetry (SAP) and optical coherence tomography (OCT) in non-acute Vogt-Koyanagi-Harada disease (VKHD)</w:t>
      </w:r>
    </w:p>
    <w:p w14:paraId="6C649615" w14:textId="77777777" w:rsidR="00A55B63" w:rsidRPr="00672CF3" w:rsidRDefault="00A55B63" w:rsidP="00A55B63">
      <w:pPr>
        <w:spacing w:line="276" w:lineRule="auto"/>
        <w:jc w:val="both"/>
        <w:rPr>
          <w:rFonts w:cs="Arial"/>
          <w:sz w:val="22"/>
          <w:szCs w:val="22"/>
          <w:lang w:val="en-US"/>
        </w:rPr>
      </w:pPr>
    </w:p>
    <w:p w14:paraId="69DE91EC" w14:textId="77777777" w:rsidR="00A55B63" w:rsidRPr="00672CF3" w:rsidRDefault="00A55B63" w:rsidP="00A55B63">
      <w:pPr>
        <w:pBdr>
          <w:top w:val="nil"/>
          <w:left w:val="nil"/>
          <w:bottom w:val="nil"/>
          <w:right w:val="nil"/>
          <w:between w:val="nil"/>
        </w:pBdr>
        <w:spacing w:line="360" w:lineRule="auto"/>
        <w:rPr>
          <w:rFonts w:cs="Arial"/>
          <w:color w:val="000000"/>
          <w:sz w:val="22"/>
          <w:szCs w:val="22"/>
          <w:vertAlign w:val="superscript"/>
        </w:rPr>
      </w:pPr>
      <w:r w:rsidRPr="00672CF3">
        <w:rPr>
          <w:rFonts w:cs="Arial"/>
          <w:color w:val="000000"/>
          <w:sz w:val="22"/>
          <w:szCs w:val="22"/>
        </w:rPr>
        <w:t>Fernanda Maria Silveira Souto,</w:t>
      </w:r>
      <w:r w:rsidRPr="00672CF3">
        <w:rPr>
          <w:rFonts w:cs="Arial"/>
          <w:color w:val="000000"/>
          <w:sz w:val="22"/>
          <w:szCs w:val="22"/>
          <w:vertAlign w:val="superscript"/>
        </w:rPr>
        <w:t>1</w:t>
      </w:r>
      <w:r w:rsidRPr="00672CF3">
        <w:rPr>
          <w:rFonts w:cs="Arial"/>
          <w:color w:val="000000"/>
          <w:sz w:val="22"/>
          <w:szCs w:val="22"/>
        </w:rPr>
        <w:t xml:space="preserve"> Ruy </w:t>
      </w:r>
      <w:proofErr w:type="spellStart"/>
      <w:r w:rsidRPr="00672CF3">
        <w:rPr>
          <w:rFonts w:cs="Arial"/>
          <w:color w:val="000000"/>
          <w:sz w:val="22"/>
          <w:szCs w:val="22"/>
        </w:rPr>
        <w:t>Felippe</w:t>
      </w:r>
      <w:proofErr w:type="spellEnd"/>
      <w:r w:rsidRPr="00672CF3">
        <w:rPr>
          <w:rFonts w:cs="Arial"/>
          <w:color w:val="000000"/>
          <w:sz w:val="22"/>
          <w:szCs w:val="22"/>
        </w:rPr>
        <w:t xml:space="preserve"> Brito Gonçalves Missaka,</w:t>
      </w:r>
      <w:r w:rsidRPr="00672CF3">
        <w:rPr>
          <w:rFonts w:cs="Arial"/>
          <w:color w:val="000000"/>
          <w:sz w:val="22"/>
          <w:szCs w:val="22"/>
          <w:vertAlign w:val="superscript"/>
        </w:rPr>
        <w:t xml:space="preserve">1 </w:t>
      </w:r>
      <w:r w:rsidRPr="00672CF3">
        <w:rPr>
          <w:rFonts w:cs="Arial"/>
          <w:color w:val="000000"/>
          <w:sz w:val="22"/>
          <w:szCs w:val="22"/>
        </w:rPr>
        <w:t>Marcelo Mendes Lavezzo,</w:t>
      </w:r>
      <w:r w:rsidRPr="00672CF3">
        <w:rPr>
          <w:rFonts w:cs="Arial"/>
          <w:color w:val="000000"/>
          <w:sz w:val="22"/>
          <w:szCs w:val="22"/>
          <w:vertAlign w:val="superscript"/>
        </w:rPr>
        <w:t>1</w:t>
      </w:r>
      <w:r w:rsidRPr="00672CF3">
        <w:rPr>
          <w:rFonts w:cs="Arial"/>
          <w:color w:val="000000"/>
          <w:sz w:val="22"/>
          <w:szCs w:val="22"/>
        </w:rPr>
        <w:t xml:space="preserve"> Viviane </w:t>
      </w:r>
      <w:proofErr w:type="spellStart"/>
      <w:r w:rsidRPr="00672CF3">
        <w:rPr>
          <w:rFonts w:cs="Arial"/>
          <w:color w:val="000000"/>
          <w:sz w:val="22"/>
          <w:szCs w:val="22"/>
        </w:rPr>
        <w:t>Mayumi</w:t>
      </w:r>
      <w:proofErr w:type="spellEnd"/>
      <w:r w:rsidRPr="00672CF3">
        <w:rPr>
          <w:rFonts w:cs="Arial"/>
          <w:color w:val="000000"/>
          <w:sz w:val="22"/>
          <w:szCs w:val="22"/>
        </w:rPr>
        <w:t xml:space="preserve"> Sakata,</w:t>
      </w:r>
      <w:r w:rsidRPr="00672CF3">
        <w:rPr>
          <w:rFonts w:cs="Arial"/>
          <w:color w:val="000000"/>
          <w:sz w:val="22"/>
          <w:szCs w:val="22"/>
          <w:vertAlign w:val="superscript"/>
        </w:rPr>
        <w:t>1,2</w:t>
      </w:r>
      <w:r w:rsidRPr="00672CF3">
        <w:rPr>
          <w:rFonts w:cs="Arial"/>
          <w:color w:val="000000"/>
          <w:sz w:val="22"/>
          <w:szCs w:val="22"/>
        </w:rPr>
        <w:t xml:space="preserve"> Maria </w:t>
      </w:r>
      <w:proofErr w:type="spellStart"/>
      <w:r w:rsidRPr="00672CF3">
        <w:rPr>
          <w:rFonts w:cs="Arial"/>
          <w:color w:val="000000"/>
          <w:sz w:val="22"/>
          <w:szCs w:val="22"/>
        </w:rPr>
        <w:t>Kiyoko</w:t>
      </w:r>
      <w:proofErr w:type="spellEnd"/>
      <w:r w:rsidRPr="00672CF3">
        <w:rPr>
          <w:rFonts w:cs="Arial"/>
          <w:color w:val="000000"/>
          <w:sz w:val="22"/>
          <w:szCs w:val="22"/>
        </w:rPr>
        <w:t xml:space="preserve"> Oyamada,</w:t>
      </w:r>
      <w:r w:rsidRPr="00672CF3">
        <w:rPr>
          <w:rFonts w:cs="Arial"/>
          <w:color w:val="000000"/>
          <w:sz w:val="22"/>
          <w:szCs w:val="22"/>
          <w:vertAlign w:val="superscript"/>
        </w:rPr>
        <w:t>1</w:t>
      </w:r>
      <w:r w:rsidRPr="00672CF3">
        <w:rPr>
          <w:rFonts w:cs="Arial"/>
          <w:color w:val="000000"/>
          <w:sz w:val="22"/>
          <w:szCs w:val="22"/>
        </w:rPr>
        <w:t xml:space="preserve"> Carlos Eduardo Hirata,</w:t>
      </w:r>
      <w:r w:rsidRPr="00672CF3">
        <w:rPr>
          <w:rFonts w:cs="Arial"/>
          <w:color w:val="000000"/>
          <w:sz w:val="22"/>
          <w:szCs w:val="22"/>
          <w:vertAlign w:val="superscript"/>
        </w:rPr>
        <w:t>1</w:t>
      </w:r>
      <w:r w:rsidRPr="00672CF3">
        <w:rPr>
          <w:rFonts w:cs="Arial"/>
          <w:color w:val="000000"/>
          <w:sz w:val="22"/>
          <w:szCs w:val="22"/>
        </w:rPr>
        <w:t xml:space="preserve"> Joyce Hisae Yamamoto</w:t>
      </w:r>
      <w:r w:rsidRPr="00672CF3">
        <w:rPr>
          <w:rFonts w:cs="Arial"/>
          <w:color w:val="000000"/>
          <w:sz w:val="22"/>
          <w:szCs w:val="22"/>
          <w:vertAlign w:val="superscript"/>
        </w:rPr>
        <w:t>1</w:t>
      </w:r>
    </w:p>
    <w:p w14:paraId="1A90F2F6" w14:textId="77777777" w:rsidR="00A55B63" w:rsidRPr="00672CF3" w:rsidRDefault="00A55B63" w:rsidP="00A55B63">
      <w:pPr>
        <w:pBdr>
          <w:top w:val="nil"/>
          <w:left w:val="nil"/>
          <w:bottom w:val="nil"/>
          <w:right w:val="nil"/>
          <w:between w:val="nil"/>
        </w:pBdr>
        <w:spacing w:line="360" w:lineRule="auto"/>
        <w:rPr>
          <w:rFonts w:cs="Arial"/>
          <w:color w:val="000000"/>
          <w:sz w:val="22"/>
          <w:szCs w:val="22"/>
        </w:rPr>
      </w:pPr>
    </w:p>
    <w:p w14:paraId="45C5943E" w14:textId="77777777" w:rsidR="00A55B63" w:rsidRPr="00672CF3" w:rsidRDefault="00A55B63" w:rsidP="00A55B63">
      <w:pPr>
        <w:pBdr>
          <w:top w:val="nil"/>
          <w:left w:val="nil"/>
          <w:bottom w:val="nil"/>
          <w:right w:val="nil"/>
          <w:between w:val="nil"/>
        </w:pBdr>
        <w:spacing w:line="360" w:lineRule="auto"/>
        <w:rPr>
          <w:rFonts w:cs="Arial"/>
          <w:color w:val="000000"/>
          <w:sz w:val="22"/>
          <w:szCs w:val="22"/>
        </w:rPr>
      </w:pPr>
      <w:r w:rsidRPr="00672CF3">
        <w:rPr>
          <w:rFonts w:cs="Arial"/>
          <w:color w:val="000000"/>
          <w:sz w:val="22"/>
          <w:szCs w:val="22"/>
          <w:vertAlign w:val="superscript"/>
        </w:rPr>
        <w:t>1</w:t>
      </w:r>
      <w:r w:rsidRPr="00672CF3">
        <w:rPr>
          <w:rFonts w:cs="Arial"/>
          <w:color w:val="000000"/>
          <w:sz w:val="22"/>
          <w:szCs w:val="22"/>
        </w:rPr>
        <w:t xml:space="preserve">Department of </w:t>
      </w:r>
      <w:proofErr w:type="spellStart"/>
      <w:r w:rsidRPr="00672CF3">
        <w:rPr>
          <w:rFonts w:cs="Arial"/>
          <w:color w:val="000000"/>
          <w:sz w:val="22"/>
          <w:szCs w:val="22"/>
        </w:rPr>
        <w:t>Ophthalmology</w:t>
      </w:r>
      <w:proofErr w:type="spellEnd"/>
      <w:r w:rsidRPr="00672CF3">
        <w:rPr>
          <w:rFonts w:cs="Arial"/>
          <w:color w:val="000000"/>
          <w:sz w:val="22"/>
          <w:szCs w:val="22"/>
        </w:rPr>
        <w:t xml:space="preserve">, LIM-33, Faculdade de Medicina FMUSP, Universidade de </w:t>
      </w:r>
      <w:proofErr w:type="spellStart"/>
      <w:r w:rsidRPr="00672CF3">
        <w:rPr>
          <w:rFonts w:cs="Arial"/>
          <w:color w:val="000000"/>
          <w:sz w:val="22"/>
          <w:szCs w:val="22"/>
        </w:rPr>
        <w:t>Sao</w:t>
      </w:r>
      <w:proofErr w:type="spellEnd"/>
      <w:r w:rsidRPr="00672CF3">
        <w:rPr>
          <w:rFonts w:cs="Arial"/>
          <w:color w:val="000000"/>
          <w:sz w:val="22"/>
          <w:szCs w:val="22"/>
        </w:rPr>
        <w:t xml:space="preserve"> Paulo, </w:t>
      </w:r>
      <w:proofErr w:type="spellStart"/>
      <w:r w:rsidRPr="00672CF3">
        <w:rPr>
          <w:rFonts w:cs="Arial"/>
          <w:color w:val="000000"/>
          <w:sz w:val="22"/>
          <w:szCs w:val="22"/>
        </w:rPr>
        <w:t>Sao</w:t>
      </w:r>
      <w:proofErr w:type="spellEnd"/>
      <w:r w:rsidRPr="00672CF3">
        <w:rPr>
          <w:rFonts w:cs="Arial"/>
          <w:color w:val="000000"/>
          <w:sz w:val="22"/>
          <w:szCs w:val="22"/>
        </w:rPr>
        <w:t xml:space="preserve"> Paulo, SP, BR</w:t>
      </w:r>
    </w:p>
    <w:p w14:paraId="47D4F64D" w14:textId="77777777" w:rsidR="00A55B63" w:rsidRPr="00672CF3" w:rsidRDefault="00A55B63" w:rsidP="00A55B63">
      <w:pPr>
        <w:pBdr>
          <w:top w:val="nil"/>
          <w:left w:val="nil"/>
          <w:bottom w:val="nil"/>
          <w:right w:val="nil"/>
          <w:between w:val="nil"/>
        </w:pBdr>
        <w:spacing w:line="360" w:lineRule="auto"/>
        <w:rPr>
          <w:rFonts w:cs="Arial"/>
          <w:color w:val="000000"/>
          <w:sz w:val="22"/>
          <w:szCs w:val="22"/>
          <w:lang w:val="en-US"/>
        </w:rPr>
      </w:pPr>
      <w:r w:rsidRPr="00672CF3">
        <w:rPr>
          <w:rFonts w:cs="Arial"/>
          <w:color w:val="000000"/>
          <w:sz w:val="22"/>
          <w:szCs w:val="22"/>
          <w:vertAlign w:val="superscript"/>
          <w:lang w:val="en-US"/>
        </w:rPr>
        <w:t>2</w:t>
      </w:r>
      <w:r w:rsidRPr="00672CF3">
        <w:rPr>
          <w:rFonts w:cs="Arial"/>
          <w:color w:val="000000"/>
          <w:sz w:val="22"/>
          <w:szCs w:val="22"/>
          <w:lang w:val="en-US"/>
        </w:rPr>
        <w:t xml:space="preserve">Department of Ophthalmology, </w:t>
      </w:r>
      <w:proofErr w:type="spellStart"/>
      <w:r w:rsidRPr="00672CF3">
        <w:rPr>
          <w:rFonts w:cs="Arial"/>
          <w:color w:val="000000"/>
          <w:sz w:val="22"/>
          <w:szCs w:val="22"/>
          <w:lang w:val="en-US"/>
        </w:rPr>
        <w:t>Universidade</w:t>
      </w:r>
      <w:proofErr w:type="spellEnd"/>
      <w:r w:rsidRPr="00672CF3">
        <w:rPr>
          <w:rFonts w:cs="Arial"/>
          <w:color w:val="000000"/>
          <w:sz w:val="22"/>
          <w:szCs w:val="22"/>
          <w:lang w:val="en-US"/>
        </w:rPr>
        <w:t xml:space="preserve"> Federal do Paraná, Curitiba, PR, BR</w:t>
      </w:r>
    </w:p>
    <w:p w14:paraId="4FF9B167" w14:textId="77777777" w:rsidR="00A55B63" w:rsidRPr="00672CF3" w:rsidRDefault="00A55B63" w:rsidP="00A55B63">
      <w:pPr>
        <w:pBdr>
          <w:top w:val="nil"/>
          <w:left w:val="nil"/>
          <w:bottom w:val="nil"/>
          <w:right w:val="nil"/>
          <w:between w:val="nil"/>
        </w:pBdr>
        <w:spacing w:line="360" w:lineRule="auto"/>
        <w:rPr>
          <w:rFonts w:cs="Arial"/>
          <w:bCs/>
          <w:color w:val="000000"/>
          <w:sz w:val="22"/>
          <w:szCs w:val="22"/>
          <w:lang w:val="en-US"/>
        </w:rPr>
      </w:pPr>
    </w:p>
    <w:p w14:paraId="3917968F" w14:textId="77777777" w:rsidR="00A55B63" w:rsidRPr="00672CF3" w:rsidRDefault="00A55B63" w:rsidP="00A55B63">
      <w:pPr>
        <w:pBdr>
          <w:top w:val="nil"/>
          <w:left w:val="nil"/>
          <w:bottom w:val="nil"/>
          <w:right w:val="nil"/>
          <w:between w:val="nil"/>
        </w:pBdr>
        <w:tabs>
          <w:tab w:val="left" w:pos="720"/>
        </w:tabs>
        <w:spacing w:line="360" w:lineRule="auto"/>
        <w:rPr>
          <w:rFonts w:cs="Arial"/>
          <w:bCs/>
          <w:color w:val="000000"/>
          <w:sz w:val="22"/>
          <w:szCs w:val="22"/>
          <w:lang w:val="en-US"/>
        </w:rPr>
      </w:pPr>
      <w:r w:rsidRPr="00672CF3">
        <w:rPr>
          <w:rFonts w:cs="Arial"/>
          <w:b/>
          <w:color w:val="000000"/>
          <w:sz w:val="22"/>
          <w:szCs w:val="22"/>
          <w:lang w:val="en-US"/>
        </w:rPr>
        <w:t xml:space="preserve">Keywords: </w:t>
      </w:r>
      <w:r w:rsidRPr="00672CF3">
        <w:rPr>
          <w:rFonts w:cs="Arial"/>
          <w:bCs/>
          <w:color w:val="000000"/>
          <w:sz w:val="22"/>
          <w:szCs w:val="22"/>
          <w:lang w:val="en-US"/>
        </w:rPr>
        <w:t xml:space="preserve">Uveitis; </w:t>
      </w:r>
      <w:proofErr w:type="spellStart"/>
      <w:r w:rsidRPr="00672CF3">
        <w:rPr>
          <w:rFonts w:cs="Arial"/>
          <w:bCs/>
          <w:color w:val="000000"/>
          <w:sz w:val="22"/>
          <w:szCs w:val="22"/>
          <w:lang w:val="en-US"/>
        </w:rPr>
        <w:t>uveomeningoencephalitic</w:t>
      </w:r>
      <w:proofErr w:type="spellEnd"/>
      <w:r w:rsidRPr="00672CF3">
        <w:rPr>
          <w:rFonts w:cs="Arial"/>
          <w:bCs/>
          <w:color w:val="000000"/>
          <w:sz w:val="22"/>
          <w:szCs w:val="22"/>
          <w:lang w:val="en-US"/>
        </w:rPr>
        <w:t xml:space="preserve"> syndrome; inflammation; electrophysiology; visual fields </w:t>
      </w:r>
    </w:p>
    <w:p w14:paraId="58F7B321" w14:textId="77777777" w:rsidR="00A55B63" w:rsidRPr="00672CF3" w:rsidRDefault="00A55B63" w:rsidP="00A55B63">
      <w:pPr>
        <w:pBdr>
          <w:top w:val="nil"/>
          <w:left w:val="nil"/>
          <w:bottom w:val="nil"/>
          <w:right w:val="nil"/>
          <w:between w:val="nil"/>
        </w:pBdr>
        <w:tabs>
          <w:tab w:val="left" w:pos="720"/>
        </w:tabs>
        <w:spacing w:line="360" w:lineRule="auto"/>
        <w:rPr>
          <w:rFonts w:cs="Arial"/>
          <w:bCs/>
          <w:color w:val="000000"/>
          <w:sz w:val="22"/>
          <w:szCs w:val="22"/>
          <w:lang w:val="en-US"/>
        </w:rPr>
      </w:pPr>
    </w:p>
    <w:p w14:paraId="319FE842" w14:textId="77777777" w:rsidR="00A55B63" w:rsidRPr="00672CF3" w:rsidRDefault="00A55B63" w:rsidP="00A55B63">
      <w:pPr>
        <w:suppressAutoHyphens/>
        <w:autoSpaceDE w:val="0"/>
        <w:autoSpaceDN w:val="0"/>
        <w:adjustRightInd w:val="0"/>
        <w:jc w:val="both"/>
        <w:rPr>
          <w:rFonts w:cs="Arial"/>
          <w:b/>
          <w:sz w:val="22"/>
          <w:szCs w:val="22"/>
        </w:rPr>
      </w:pPr>
      <w:proofErr w:type="spellStart"/>
      <w:r w:rsidRPr="00672CF3">
        <w:rPr>
          <w:rFonts w:cs="Arial"/>
          <w:b/>
          <w:sz w:val="22"/>
          <w:szCs w:val="22"/>
        </w:rPr>
        <w:t>Corresponding</w:t>
      </w:r>
      <w:proofErr w:type="spellEnd"/>
      <w:r w:rsidRPr="00672CF3">
        <w:rPr>
          <w:rFonts w:cs="Arial"/>
          <w:b/>
          <w:sz w:val="22"/>
          <w:szCs w:val="22"/>
        </w:rPr>
        <w:t xml:space="preserve"> </w:t>
      </w:r>
      <w:proofErr w:type="spellStart"/>
      <w:r w:rsidRPr="00672CF3">
        <w:rPr>
          <w:rFonts w:cs="Arial"/>
          <w:b/>
          <w:sz w:val="22"/>
          <w:szCs w:val="22"/>
        </w:rPr>
        <w:t>author</w:t>
      </w:r>
      <w:proofErr w:type="spellEnd"/>
      <w:r w:rsidRPr="00672CF3">
        <w:rPr>
          <w:rFonts w:cs="Arial"/>
          <w:b/>
          <w:sz w:val="22"/>
          <w:szCs w:val="22"/>
        </w:rPr>
        <w:t>:</w:t>
      </w:r>
    </w:p>
    <w:p w14:paraId="5E9DFBB3" w14:textId="77777777" w:rsidR="00A55B63" w:rsidRPr="00672CF3" w:rsidRDefault="00A55B63" w:rsidP="00A55B63">
      <w:pPr>
        <w:jc w:val="both"/>
        <w:rPr>
          <w:rFonts w:cs="Arial"/>
          <w:sz w:val="22"/>
          <w:szCs w:val="22"/>
        </w:rPr>
      </w:pPr>
      <w:r w:rsidRPr="00672CF3">
        <w:rPr>
          <w:rFonts w:cs="Arial"/>
          <w:color w:val="000000"/>
          <w:sz w:val="22"/>
          <w:szCs w:val="22"/>
        </w:rPr>
        <w:t xml:space="preserve">Fernanda Maria Silveira Souto </w:t>
      </w:r>
    </w:p>
    <w:p w14:paraId="6DCDE60E" w14:textId="77777777" w:rsidR="00A55B63" w:rsidRPr="00672CF3" w:rsidRDefault="00A55B63" w:rsidP="00A55B63">
      <w:pPr>
        <w:jc w:val="both"/>
        <w:rPr>
          <w:rFonts w:cs="Arial"/>
          <w:sz w:val="22"/>
          <w:szCs w:val="22"/>
        </w:rPr>
      </w:pPr>
      <w:proofErr w:type="spellStart"/>
      <w:r w:rsidRPr="00672CF3">
        <w:rPr>
          <w:rFonts w:cs="Arial"/>
          <w:color w:val="000000"/>
          <w:sz w:val="22"/>
          <w:szCs w:val="22"/>
        </w:rPr>
        <w:t>Departament</w:t>
      </w:r>
      <w:proofErr w:type="spellEnd"/>
      <w:r w:rsidRPr="00672CF3">
        <w:rPr>
          <w:rFonts w:cs="Arial"/>
          <w:color w:val="000000"/>
          <w:sz w:val="22"/>
          <w:szCs w:val="22"/>
        </w:rPr>
        <w:t xml:space="preserve"> of </w:t>
      </w:r>
      <w:proofErr w:type="spellStart"/>
      <w:r w:rsidRPr="00672CF3">
        <w:rPr>
          <w:rFonts w:cs="Arial"/>
          <w:color w:val="000000"/>
          <w:sz w:val="22"/>
          <w:szCs w:val="22"/>
        </w:rPr>
        <w:t>Ophthalmology</w:t>
      </w:r>
      <w:proofErr w:type="spellEnd"/>
      <w:r w:rsidRPr="00672CF3">
        <w:rPr>
          <w:rFonts w:cs="Arial"/>
          <w:color w:val="000000"/>
          <w:sz w:val="22"/>
          <w:szCs w:val="22"/>
        </w:rPr>
        <w:t xml:space="preserve">, </w:t>
      </w:r>
    </w:p>
    <w:p w14:paraId="0EFF93BC" w14:textId="77777777" w:rsidR="00A55B63" w:rsidRPr="00672CF3" w:rsidRDefault="00A55B63" w:rsidP="00A55B63">
      <w:pPr>
        <w:jc w:val="both"/>
        <w:rPr>
          <w:rFonts w:cs="Arial"/>
          <w:sz w:val="22"/>
          <w:szCs w:val="22"/>
        </w:rPr>
      </w:pPr>
      <w:r w:rsidRPr="00672CF3">
        <w:rPr>
          <w:rFonts w:cs="Arial"/>
          <w:color w:val="000000"/>
          <w:sz w:val="22"/>
          <w:szCs w:val="22"/>
        </w:rPr>
        <w:t xml:space="preserve">Faculdade de Medicina FMUSP, </w:t>
      </w:r>
    </w:p>
    <w:p w14:paraId="7DD35575" w14:textId="77777777" w:rsidR="00A55B63" w:rsidRPr="00672CF3" w:rsidRDefault="00A55B63" w:rsidP="00A55B63">
      <w:pPr>
        <w:jc w:val="both"/>
        <w:rPr>
          <w:rFonts w:cs="Arial"/>
          <w:sz w:val="22"/>
          <w:szCs w:val="22"/>
        </w:rPr>
      </w:pPr>
      <w:r w:rsidRPr="00672CF3">
        <w:rPr>
          <w:rFonts w:cs="Arial"/>
          <w:color w:val="000000"/>
          <w:sz w:val="22"/>
          <w:szCs w:val="22"/>
        </w:rPr>
        <w:t xml:space="preserve">Universidade de São Paulo, São Paulo 01246, </w:t>
      </w:r>
    </w:p>
    <w:p w14:paraId="2F825241" w14:textId="77777777" w:rsidR="00A55B63" w:rsidRPr="00672CF3" w:rsidRDefault="00A55B63" w:rsidP="00A55B63">
      <w:pPr>
        <w:jc w:val="both"/>
        <w:rPr>
          <w:rFonts w:cs="Arial"/>
          <w:color w:val="000000"/>
          <w:sz w:val="22"/>
          <w:szCs w:val="22"/>
          <w:lang w:val="en-US"/>
        </w:rPr>
      </w:pPr>
      <w:r w:rsidRPr="00672CF3">
        <w:rPr>
          <w:rFonts w:cs="Arial"/>
          <w:color w:val="000000"/>
          <w:sz w:val="22"/>
          <w:szCs w:val="22"/>
          <w:lang w:val="en-US"/>
        </w:rPr>
        <w:t>Email:</w:t>
      </w:r>
      <w:r w:rsidRPr="00672CF3">
        <w:rPr>
          <w:rFonts w:cs="Arial"/>
          <w:color w:val="000000" w:themeColor="text1"/>
          <w:sz w:val="22"/>
          <w:szCs w:val="22"/>
          <w:lang w:val="en-US"/>
        </w:rPr>
        <w:t xml:space="preserve"> </w:t>
      </w:r>
      <w:hyperlink r:id="rId6">
        <w:r w:rsidRPr="00672CF3">
          <w:rPr>
            <w:rFonts w:cs="Arial"/>
            <w:color w:val="000000" w:themeColor="text1"/>
            <w:sz w:val="22"/>
            <w:szCs w:val="22"/>
            <w:lang w:val="en-US"/>
          </w:rPr>
          <w:t>fernanda.souto@yahoo.com.br</w:t>
        </w:r>
      </w:hyperlink>
    </w:p>
    <w:p w14:paraId="359A5F0E" w14:textId="77777777" w:rsidR="00A55B63" w:rsidRPr="00672CF3" w:rsidRDefault="00A55B63" w:rsidP="00A55B63">
      <w:pPr>
        <w:jc w:val="both"/>
        <w:rPr>
          <w:rFonts w:cs="Arial"/>
          <w:sz w:val="22"/>
          <w:szCs w:val="22"/>
          <w:lang w:val="en-US"/>
        </w:rPr>
      </w:pPr>
      <w:r w:rsidRPr="00672CF3">
        <w:rPr>
          <w:rFonts w:cs="Arial"/>
          <w:color w:val="000000"/>
          <w:sz w:val="22"/>
          <w:szCs w:val="22"/>
          <w:lang w:val="en-US"/>
        </w:rPr>
        <w:t>Cell phone: + 55 79 99972-1562</w:t>
      </w:r>
    </w:p>
    <w:p w14:paraId="7E3D74F3" w14:textId="77777777" w:rsidR="00A55B63" w:rsidRPr="00672CF3" w:rsidRDefault="00A55B63" w:rsidP="00A55B63">
      <w:pPr>
        <w:spacing w:line="276" w:lineRule="auto"/>
        <w:jc w:val="both"/>
        <w:rPr>
          <w:rFonts w:cs="Arial"/>
          <w:sz w:val="22"/>
          <w:szCs w:val="22"/>
          <w:lang w:val="en-US"/>
        </w:rPr>
      </w:pPr>
    </w:p>
    <w:p w14:paraId="16BC7874" w14:textId="77777777" w:rsidR="00A55B63" w:rsidRPr="00672CF3" w:rsidRDefault="00A55B63" w:rsidP="00A55B63">
      <w:pPr>
        <w:spacing w:line="276" w:lineRule="auto"/>
        <w:jc w:val="both"/>
        <w:rPr>
          <w:rFonts w:cs="Arial"/>
          <w:b/>
          <w:bCs/>
          <w:sz w:val="22"/>
          <w:szCs w:val="22"/>
          <w:lang w:val="en-US"/>
        </w:rPr>
      </w:pPr>
      <w:r w:rsidRPr="00672CF3">
        <w:rPr>
          <w:rFonts w:cs="Arial"/>
          <w:b/>
          <w:bCs/>
          <w:sz w:val="22"/>
          <w:szCs w:val="22"/>
          <w:lang w:val="en-US"/>
        </w:rPr>
        <w:t>Acknowledgments/ disclosure</w:t>
      </w:r>
    </w:p>
    <w:p w14:paraId="5765BC73" w14:textId="77777777" w:rsidR="00A55B63" w:rsidRPr="00672CF3" w:rsidRDefault="00A55B63" w:rsidP="00A55B63">
      <w:pPr>
        <w:pBdr>
          <w:top w:val="nil"/>
          <w:left w:val="nil"/>
          <w:bottom w:val="nil"/>
          <w:right w:val="nil"/>
          <w:between w:val="nil"/>
        </w:pBdr>
        <w:tabs>
          <w:tab w:val="left" w:pos="720"/>
        </w:tabs>
        <w:contextualSpacing/>
        <w:rPr>
          <w:rFonts w:cs="Arial"/>
          <w:bCs/>
          <w:i/>
          <w:iCs/>
          <w:color w:val="000000"/>
          <w:sz w:val="22"/>
          <w:szCs w:val="22"/>
          <w:lang w:val="en-US"/>
        </w:rPr>
      </w:pPr>
      <w:r w:rsidRPr="00672CF3">
        <w:rPr>
          <w:rFonts w:cs="Arial"/>
          <w:bCs/>
          <w:i/>
          <w:iCs/>
          <w:color w:val="000000"/>
          <w:sz w:val="22"/>
          <w:szCs w:val="22"/>
          <w:lang w:val="en-US"/>
        </w:rPr>
        <w:t>Funding:</w:t>
      </w:r>
    </w:p>
    <w:p w14:paraId="74FB7E76"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r w:rsidRPr="00672CF3">
        <w:rPr>
          <w:rFonts w:cs="Arial"/>
          <w:color w:val="000000"/>
          <w:sz w:val="22"/>
          <w:szCs w:val="22"/>
          <w:lang w:val="en-US"/>
        </w:rPr>
        <w:t>São Paulo Research Foundation (FAPESP) Grant #2011/50936-7</w:t>
      </w:r>
    </w:p>
    <w:p w14:paraId="6F2F6A47"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090D17EA" w14:textId="77777777" w:rsidR="00A55B63" w:rsidRPr="00672CF3" w:rsidRDefault="00A55B63" w:rsidP="00A55B63">
      <w:pPr>
        <w:pBdr>
          <w:top w:val="nil"/>
          <w:left w:val="nil"/>
          <w:bottom w:val="nil"/>
          <w:right w:val="nil"/>
          <w:between w:val="nil"/>
        </w:pBdr>
        <w:tabs>
          <w:tab w:val="left" w:pos="720"/>
        </w:tabs>
        <w:contextualSpacing/>
        <w:rPr>
          <w:rFonts w:cs="Arial"/>
          <w:bCs/>
          <w:i/>
          <w:iCs/>
          <w:color w:val="000000"/>
          <w:sz w:val="22"/>
          <w:szCs w:val="22"/>
          <w:lang w:val="en-US"/>
        </w:rPr>
      </w:pPr>
      <w:r w:rsidRPr="00672CF3">
        <w:rPr>
          <w:rFonts w:cs="Arial"/>
          <w:bCs/>
          <w:i/>
          <w:iCs/>
          <w:color w:val="000000"/>
          <w:sz w:val="22"/>
          <w:szCs w:val="22"/>
          <w:lang w:val="en-US"/>
        </w:rPr>
        <w:t>Role of the Funder/Sponsor:</w:t>
      </w:r>
    </w:p>
    <w:p w14:paraId="565B11B2"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r w:rsidRPr="00672CF3">
        <w:rPr>
          <w:rFonts w:cs="Arial"/>
          <w:color w:val="000000"/>
          <w:sz w:val="22"/>
          <w:szCs w:val="22"/>
          <w:lang w:val="en-US"/>
        </w:rPr>
        <w:t>The funding source had no role in the design and conduct of the study; collection, management, analysis, and interpretation of the data; preparation, review, or approval of the manuscript; and decision to submit the manuscript for publication</w:t>
      </w:r>
    </w:p>
    <w:p w14:paraId="7EC2C183"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1086B55B" w14:textId="77777777" w:rsidR="00A55B63" w:rsidRPr="00672CF3" w:rsidRDefault="00A55B63" w:rsidP="00A55B63">
      <w:pPr>
        <w:pBdr>
          <w:top w:val="nil"/>
          <w:left w:val="nil"/>
          <w:bottom w:val="nil"/>
          <w:right w:val="nil"/>
          <w:between w:val="nil"/>
        </w:pBdr>
        <w:tabs>
          <w:tab w:val="left" w:pos="720"/>
        </w:tabs>
        <w:contextualSpacing/>
        <w:rPr>
          <w:rFonts w:cs="Arial"/>
          <w:bCs/>
          <w:i/>
          <w:iCs/>
          <w:color w:val="000000"/>
          <w:sz w:val="22"/>
          <w:szCs w:val="22"/>
          <w:lang w:val="en-US"/>
        </w:rPr>
      </w:pPr>
      <w:r w:rsidRPr="00672CF3">
        <w:rPr>
          <w:rFonts w:cs="Arial"/>
          <w:bCs/>
          <w:i/>
          <w:iCs/>
          <w:color w:val="000000"/>
          <w:sz w:val="22"/>
          <w:szCs w:val="22"/>
          <w:lang w:val="en-US"/>
        </w:rPr>
        <w:t>Conflict of interest disclosure</w:t>
      </w:r>
    </w:p>
    <w:p w14:paraId="1AE813CA"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r w:rsidRPr="00672CF3">
        <w:rPr>
          <w:rFonts w:cs="Arial"/>
          <w:color w:val="000000"/>
          <w:sz w:val="22"/>
          <w:szCs w:val="22"/>
          <w:lang w:val="en-US"/>
        </w:rPr>
        <w:t>The authors report no conflict of interest</w:t>
      </w:r>
    </w:p>
    <w:p w14:paraId="544BFAE8"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01E57DE9" w14:textId="77777777" w:rsidR="00A55B63" w:rsidRPr="00672CF3" w:rsidRDefault="00A55B63" w:rsidP="00A55B63">
      <w:pPr>
        <w:pBdr>
          <w:top w:val="nil"/>
          <w:left w:val="nil"/>
          <w:bottom w:val="nil"/>
          <w:right w:val="nil"/>
          <w:between w:val="nil"/>
        </w:pBdr>
        <w:tabs>
          <w:tab w:val="left" w:pos="720"/>
        </w:tabs>
        <w:contextualSpacing/>
        <w:rPr>
          <w:rFonts w:cs="Arial"/>
          <w:color w:val="FF0000"/>
          <w:sz w:val="22"/>
          <w:szCs w:val="22"/>
          <w:lang w:val="en-US"/>
        </w:rPr>
      </w:pPr>
      <w:r w:rsidRPr="00672CF3">
        <w:rPr>
          <w:rFonts w:cs="Arial"/>
          <w:bCs/>
          <w:i/>
          <w:iCs/>
          <w:color w:val="000000"/>
          <w:sz w:val="22"/>
          <w:szCs w:val="22"/>
          <w:lang w:val="en-US"/>
        </w:rPr>
        <w:t xml:space="preserve">Contributorship statement </w:t>
      </w:r>
    </w:p>
    <w:p w14:paraId="5C1C0F23"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r w:rsidRPr="00672CF3">
        <w:rPr>
          <w:rFonts w:cs="Arial"/>
          <w:color w:val="000000"/>
          <w:sz w:val="22"/>
          <w:szCs w:val="22"/>
          <w:lang w:val="en-US"/>
        </w:rPr>
        <w:t>Definition of study design: Yamamoto JH; data collection: Souto FMS, Missaka RFBG, Lavezzo MM; analysis and interpretation of data: all authors; manuscript writing: Souto FMS, Yamamoto JH; critical review and approval of the manuscript: all authors.</w:t>
      </w:r>
    </w:p>
    <w:p w14:paraId="3B7D9419"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5BA76084"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3F2E9533"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791E98EB"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25DD75F2"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3C028115"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471ED700" w14:textId="77777777" w:rsidR="00A55B63" w:rsidRPr="00672CF3" w:rsidRDefault="00A55B63" w:rsidP="00A55B63">
      <w:pPr>
        <w:pBdr>
          <w:top w:val="nil"/>
          <w:left w:val="nil"/>
          <w:bottom w:val="nil"/>
          <w:right w:val="nil"/>
          <w:between w:val="nil"/>
        </w:pBdr>
        <w:tabs>
          <w:tab w:val="left" w:pos="720"/>
        </w:tabs>
        <w:contextualSpacing/>
        <w:rPr>
          <w:rFonts w:cs="Arial"/>
          <w:color w:val="000000"/>
          <w:sz w:val="22"/>
          <w:szCs w:val="22"/>
          <w:lang w:val="en-US"/>
        </w:rPr>
      </w:pPr>
    </w:p>
    <w:p w14:paraId="206E3729" w14:textId="77777777" w:rsidR="00672CF3" w:rsidRDefault="00672CF3" w:rsidP="00A55B63">
      <w:pPr>
        <w:pBdr>
          <w:top w:val="nil"/>
          <w:left w:val="nil"/>
          <w:bottom w:val="nil"/>
          <w:right w:val="nil"/>
          <w:between w:val="nil"/>
        </w:pBdr>
        <w:tabs>
          <w:tab w:val="left" w:pos="720"/>
        </w:tabs>
        <w:contextualSpacing/>
        <w:rPr>
          <w:rFonts w:cs="Arial"/>
          <w:color w:val="000000"/>
          <w:sz w:val="22"/>
          <w:szCs w:val="22"/>
          <w:lang w:val="en-US"/>
        </w:rPr>
      </w:pPr>
    </w:p>
    <w:p w14:paraId="4BDFC689" w14:textId="69EF67CE" w:rsidR="00A55B63" w:rsidRPr="008B2CC8" w:rsidRDefault="00A55B63" w:rsidP="00A55B63">
      <w:pPr>
        <w:pBdr>
          <w:top w:val="nil"/>
          <w:left w:val="nil"/>
          <w:bottom w:val="nil"/>
          <w:right w:val="nil"/>
          <w:between w:val="nil"/>
        </w:pBdr>
        <w:tabs>
          <w:tab w:val="left" w:pos="720"/>
        </w:tabs>
        <w:contextualSpacing/>
        <w:rPr>
          <w:rFonts w:cs="Arial"/>
          <w:color w:val="000000"/>
          <w:sz w:val="22"/>
          <w:szCs w:val="22"/>
          <w:lang w:val="en-US"/>
        </w:rPr>
      </w:pPr>
      <w:r w:rsidRPr="008B2CC8">
        <w:rPr>
          <w:rFonts w:cs="Arial"/>
          <w:b/>
          <w:bCs/>
          <w:sz w:val="22"/>
          <w:szCs w:val="22"/>
          <w:lang w:val="en-US"/>
        </w:rPr>
        <w:lastRenderedPageBreak/>
        <w:t xml:space="preserve">ABSTRACT </w:t>
      </w:r>
    </w:p>
    <w:p w14:paraId="62D05DEB" w14:textId="77777777" w:rsidR="00A55B63" w:rsidRPr="008B2CC8" w:rsidRDefault="00A55B63" w:rsidP="00A55B63">
      <w:pPr>
        <w:spacing w:line="360" w:lineRule="auto"/>
        <w:rPr>
          <w:rFonts w:cs="Arial"/>
          <w:color w:val="000000" w:themeColor="text1"/>
          <w:sz w:val="22"/>
          <w:szCs w:val="22"/>
          <w:lang w:val="en-US"/>
        </w:rPr>
      </w:pPr>
      <w:r w:rsidRPr="008B2CC8">
        <w:rPr>
          <w:rFonts w:cs="Arial"/>
          <w:b/>
          <w:bCs/>
          <w:color w:val="000000" w:themeColor="text1"/>
          <w:sz w:val="22"/>
          <w:szCs w:val="22"/>
          <w:lang w:val="en-US"/>
        </w:rPr>
        <w:t xml:space="preserve">Purpose: </w:t>
      </w:r>
      <w:r w:rsidRPr="008B2CC8">
        <w:rPr>
          <w:rFonts w:cs="Arial"/>
          <w:color w:val="000000" w:themeColor="text1"/>
          <w:sz w:val="22"/>
          <w:szCs w:val="22"/>
          <w:lang w:val="en-US"/>
        </w:rPr>
        <w:t>To evaluate associations between functional (SAP and mfERG) and structural (OCT)</w:t>
      </w:r>
    </w:p>
    <w:p w14:paraId="6EAFECA4" w14:textId="19FEDE28" w:rsidR="00A55B63" w:rsidRPr="008B2CC8" w:rsidRDefault="00A55B63" w:rsidP="00A55B63">
      <w:pPr>
        <w:spacing w:line="360" w:lineRule="auto"/>
        <w:rPr>
          <w:rFonts w:cs="Arial"/>
          <w:color w:val="000000" w:themeColor="text1"/>
          <w:sz w:val="22"/>
          <w:szCs w:val="22"/>
          <w:lang w:val="en-US"/>
        </w:rPr>
      </w:pPr>
      <w:r w:rsidRPr="008B2CC8">
        <w:rPr>
          <w:rFonts w:cs="Arial"/>
          <w:color w:val="000000" w:themeColor="text1"/>
          <w:sz w:val="22"/>
          <w:szCs w:val="22"/>
          <w:lang w:val="en-US"/>
        </w:rPr>
        <w:t>measurements in patients with non-acute VKHD</w:t>
      </w:r>
      <w:r w:rsidR="00961BF5" w:rsidRPr="008B2CC8">
        <w:rPr>
          <w:rFonts w:cs="Arial"/>
          <w:color w:val="000000" w:themeColor="text1"/>
          <w:sz w:val="22"/>
          <w:szCs w:val="22"/>
          <w:lang w:val="en-US"/>
        </w:rPr>
        <w:t>.</w:t>
      </w:r>
      <w:r w:rsidRPr="008B2CC8">
        <w:rPr>
          <w:rFonts w:cs="Arial"/>
          <w:color w:val="000000" w:themeColor="text1"/>
          <w:sz w:val="22"/>
          <w:szCs w:val="22"/>
          <w:lang w:val="en-US"/>
        </w:rPr>
        <w:t xml:space="preserve"> </w:t>
      </w:r>
    </w:p>
    <w:p w14:paraId="6E163B79" w14:textId="7EE86917" w:rsidR="00A55B63" w:rsidRPr="008B2CC8" w:rsidRDefault="00A55B63" w:rsidP="00A55B63">
      <w:pPr>
        <w:spacing w:line="360" w:lineRule="auto"/>
        <w:rPr>
          <w:rFonts w:cs="Arial"/>
          <w:color w:val="000000" w:themeColor="text1"/>
          <w:sz w:val="22"/>
          <w:szCs w:val="22"/>
          <w:lang w:val="en-US"/>
        </w:rPr>
      </w:pPr>
      <w:r w:rsidRPr="008B2CC8">
        <w:rPr>
          <w:rFonts w:cs="Arial"/>
          <w:b/>
          <w:bCs/>
          <w:color w:val="000000" w:themeColor="text1"/>
          <w:sz w:val="22"/>
          <w:szCs w:val="22"/>
          <w:lang w:val="en-US"/>
        </w:rPr>
        <w:t xml:space="preserve">Methods: </w:t>
      </w:r>
      <w:r w:rsidRPr="008B2CC8">
        <w:rPr>
          <w:rFonts w:cs="Arial"/>
          <w:color w:val="000000" w:themeColor="text1"/>
          <w:sz w:val="22"/>
          <w:szCs w:val="22"/>
          <w:lang w:val="en-US"/>
        </w:rPr>
        <w:t>Cross-sectional study (Jul/Dec 17) with 18 patients with VKHD followed for minimum 12mo from disease onset with systematic evaluation and treatment protocols. SAP: central 24-2 Swedish Interactive Threshold Algorithm standard on Humphrey Visual Field Analyzer II®; mean sensitivity (MS): 52 test points excluding points immediately above and below blind spot; central sensitivity (CS): average value at 4 central points; values in decibel and linear 1/L units. OCT: Spectralis® linear 30 degrees horizontal and vertical scanning of fundus area centered on macular umbo. mfERG (61 hexagons): RETiscan System® following the International Society for Clinical Electrophysiology of Vision guidelines; P1 and N1 amplitudes and peak times calculated after excluding ring 5 values. Age and gender matched controls were included for SAP and mfERG. Generalized estimated equations were used for analyzing binary ocular data, Pearson correlation for correlations. This study was approved by Institutional Ethics Committee and followed Helsinki declaration</w:t>
      </w:r>
    </w:p>
    <w:p w14:paraId="65F48060" w14:textId="77777777" w:rsidR="00A55B63" w:rsidRPr="008B2CC8" w:rsidRDefault="00A55B63" w:rsidP="00A55B63">
      <w:pPr>
        <w:spacing w:line="360" w:lineRule="auto"/>
        <w:jc w:val="both"/>
        <w:rPr>
          <w:rFonts w:cs="Arial"/>
          <w:sz w:val="22"/>
          <w:szCs w:val="22"/>
          <w:lang w:val="en-US"/>
        </w:rPr>
      </w:pPr>
      <w:r w:rsidRPr="008B2CC8">
        <w:rPr>
          <w:rFonts w:cs="Arial"/>
          <w:b/>
          <w:bCs/>
          <w:sz w:val="22"/>
          <w:szCs w:val="22"/>
          <w:lang w:val="en-US"/>
        </w:rPr>
        <w:t xml:space="preserve">Results: </w:t>
      </w:r>
      <w:r w:rsidRPr="008B2CC8">
        <w:rPr>
          <w:rFonts w:cs="Arial"/>
          <w:sz w:val="22"/>
          <w:szCs w:val="22"/>
          <w:lang w:val="en-US"/>
        </w:rPr>
        <w:t xml:space="preserve">SAP and mfERG parameters were significantly worse in VKHD patients than in normal controls. There were significant correlations between P1 and N1 amplitudes and MS (r=0.342 and r=0.381, p=0.041 and p=0.022, respectively); P1 and N1 peak times and MS (r=-0.364 and r=-0.345, p=0.029 and p=0.039, respectively); foveal thickness and N1 amplitude and P1 peak time (r=-0.354 and r=0.509, p=0.034 and p=0.002, respectively). Disrupted photoreceptors integrity on OCT was associated with decreased P1 and N1 amplitudes (p= 0.050 and p= 0.002, respectively) and reduced CS, fovea, PSD and MD values on SAP (p=0.007; p=0.045; p= 0.014 and p=0.011, respectively). </w:t>
      </w:r>
    </w:p>
    <w:p w14:paraId="0F03036E" w14:textId="5FCB1531" w:rsidR="00A55B63" w:rsidRPr="008B2CC8" w:rsidRDefault="00A55B63" w:rsidP="00A55B63">
      <w:pPr>
        <w:spacing w:line="360" w:lineRule="auto"/>
        <w:jc w:val="both"/>
        <w:rPr>
          <w:rFonts w:cs="Arial"/>
          <w:sz w:val="22"/>
          <w:szCs w:val="22"/>
          <w:lang w:val="en-US"/>
        </w:rPr>
      </w:pPr>
      <w:r w:rsidRPr="008B2CC8">
        <w:rPr>
          <w:rFonts w:cs="Arial"/>
          <w:b/>
          <w:bCs/>
          <w:sz w:val="22"/>
          <w:szCs w:val="22"/>
          <w:lang w:val="en-US"/>
        </w:rPr>
        <w:t xml:space="preserve">Conclusions: </w:t>
      </w:r>
      <w:r w:rsidRPr="008B2CC8">
        <w:rPr>
          <w:rFonts w:cs="Arial"/>
          <w:sz w:val="22"/>
          <w:szCs w:val="22"/>
          <w:lang w:val="en-US"/>
        </w:rPr>
        <w:t>Measurements of SAP, mfERG and OCT correlated significantly with each other</w:t>
      </w:r>
      <w:r w:rsidR="00C14432" w:rsidRPr="008B2CC8">
        <w:rPr>
          <w:rFonts w:cs="Arial"/>
          <w:sz w:val="22"/>
          <w:szCs w:val="22"/>
          <w:lang w:val="en-US"/>
        </w:rPr>
        <w:t xml:space="preserve"> </w:t>
      </w:r>
      <w:r w:rsidRPr="008B2CC8">
        <w:rPr>
          <w:rFonts w:cs="Arial"/>
          <w:sz w:val="22"/>
          <w:szCs w:val="22"/>
          <w:lang w:val="en-US"/>
        </w:rPr>
        <w:t>in patients with non-acute VKHD and were significantly worse than in controls.</w:t>
      </w:r>
    </w:p>
    <w:p w14:paraId="01A75607" w14:textId="77777777" w:rsidR="00A55B63" w:rsidRPr="008B2CC8" w:rsidRDefault="00A55B63" w:rsidP="00A55B63">
      <w:pPr>
        <w:spacing w:line="360" w:lineRule="auto"/>
        <w:jc w:val="both"/>
        <w:rPr>
          <w:rFonts w:cs="Arial"/>
          <w:sz w:val="22"/>
          <w:szCs w:val="22"/>
          <w:lang w:val="en-US"/>
        </w:rPr>
      </w:pPr>
    </w:p>
    <w:p w14:paraId="0B9BED77" w14:textId="77777777" w:rsidR="00A55B63" w:rsidRPr="008B2CC8" w:rsidRDefault="00A55B63" w:rsidP="00A55B63">
      <w:pPr>
        <w:spacing w:line="360" w:lineRule="auto"/>
        <w:jc w:val="both"/>
        <w:rPr>
          <w:rFonts w:cs="Arial"/>
          <w:b/>
          <w:bCs/>
          <w:sz w:val="22"/>
          <w:szCs w:val="22"/>
          <w:lang w:val="en-US"/>
        </w:rPr>
      </w:pPr>
      <w:r w:rsidRPr="008B2CC8">
        <w:rPr>
          <w:rFonts w:cs="Arial"/>
          <w:b/>
          <w:bCs/>
          <w:sz w:val="22"/>
          <w:szCs w:val="22"/>
          <w:lang w:val="en-US"/>
        </w:rPr>
        <w:t>INTRODUCTION</w:t>
      </w:r>
    </w:p>
    <w:p w14:paraId="77F19411" w14:textId="7C317730"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Vogt-Koyanagi-Harada disease (VKHD) is a systemic autoimmune disease that targets melanocyte-rich tissues such as the choroid.</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{"citationItems":[{"id":"ITEM-1","itemData":{"DOI":"10.1016/S0039-6257(05)80105-5","ISSN":"00396257","abstract":"The Vogt-Koyanagi-Harada syndrome (VKH) is a bilateral, diffuse granulomatous uveitis associated with poliosis, vitiligo, alopecia, and central nervous system and auditory signs. These manifestations are variable and race dependent. This inflammatory syndrome is probably the result of an autoimmune mechanism, influenced by genetic factors, and appears to be directed against melanocytes. On histopathologic examination typical cases show nonnecrotizing diffuse granulomatous panuveitis with initial sparing and late involvement of the choriocapillaris and formation of Dalen-Fuchs' nodules. Fluorescein angiography, lumbar puncture, and echography are useful adjuncts in the diagnosis and management of VKH syndrome. Patients with this syndrome are treated generally with high dose systemic corticosteroids or, when necessary, with cyclosporine or cytotoxic agents. The prognosis of patients with VKH syndrome is fair, with nearly 60% of patients retaining vision of 20/30 or better. The complications of VKH syndrome that lead to visual loss include cataracts in about 25% of patients, glaucoma in 33%, and subretinal neovascular membranes (SRNVMs) in about 10%; the latter, however, are an important cause of late visual loss. These complications usually require medical and/or surgical intervention, including photocoagulation. The major risk factor for the development of cataracts, SRNVMs, and, to some extent, glaucoma, is chronic recurrent intraocular inflammation that may be resistant to corticosteroid therapy. It appears that initial treatment with high dose corticosteroids, combined with prolonged corticosteroid therapy at appropriate dosage, may minimize these complications and may improve visual prognosis. © 1995 Survey of Ophthalmology, Inc. All rights reserved.","author":[{"dropping-particle":"","family":"Moorthy","given":"Ramana S.","non-dropping-particle":"","parse-names":false,"suffix":""},{"dropping-particle":"","family":"Inomata","given":"Hajime","non-dropping-particle":"","parse-names":false,"suffix":""},{"dropping-particle":"","family":"Rao","given":"Narsing A.","non-dropping-particle":"","parse-names":false,"suffix":""}],"container-title":"Survey of Ophthalmology","id":"ITEM-1","issued":{"date-parts":[["1995"]]},"title":"Vogt-Koyanagi-Harada syndrome","type":"article"},"uris":["http://www.mendeley.com/documents/?uuid=6ae7175f-0cdc-41b7-aa35-bec825b3ce15"]},{"id":"ITEM-2","itemData":{"DOI":"10.1186/s13023-016-0412-4","ISSN":"17501172","abstract":"Vogt-Koyanagi-Harada disease (VKHD) is a rare granulomatous inflammatory disease that affects pigmented structures, such as eye, inner ear, meninges, skin and hair. This disease is mainly a Th1 lymphocyte mediated aggression to melanocytes after a viral trigger in the presence of HLA-DRB1</w:instrText>
      </w:r>
      <w:r w:rsidRPr="008B2CC8">
        <w:rPr>
          <w:rFonts w:ascii="Cambria Math" w:hAnsi="Cambria Math" w:cs="Cambria Math"/>
          <w:sz w:val="22"/>
          <w:szCs w:val="22"/>
          <w:lang w:val="en-US"/>
        </w:rPr>
        <w:instrText>∗</w:instrText>
      </w:r>
      <w:r w:rsidRPr="008B2CC8">
        <w:rPr>
          <w:rFonts w:cs="Arial"/>
          <w:sz w:val="22"/>
          <w:szCs w:val="22"/>
          <w:lang w:val="en-US"/>
        </w:rPr>
        <w:instrText>0405 allele. The absence of ocular trauma or previous intraocular surgery sets VKHD appart from sympathetic ophthalmia, its main differential diagnosis. The disease has an acute onset of bilateral blurred vision with hyperemia preceded by flu-like symptoms. The acute uveitic stage is characterized by a diffuse choroiditis with serous retinal detachment and optic disc hyperemia and edema. Fluorescein angiography in this phase demonstrates multiple early hyperfluorescent points. After the acute uveitic stage, ocular and integumentary system pigmentary changes may appear. Ocular findings may be accompanied by lymphocytic meningitis, hearing impairment and/or tinnitus in a variable proportion of patients. Prompt diagnosis followed by early, aggressive and long-term treatment with high-dose corticosteroids is most often ensued by good visual outcomes. However, some patients may experience chronic uveal inflammation with functional eye deterioration. The current review discusses the general features of VKHD, including epidemiology, classification into categories, differential diagnosis and current therapeutic approaches.","author":[{"dropping-particle":"","family":"Lavezzo","given":"Marcelo Mendes","non-dropping-particle":"","parse-names":false,"suffix":""},{"dropping-particle":"","family":"Sakata","given":"Viviane Mayumi","non-dropping-particle":"","parse-names":false,"suffix":""},{"dropping-particle":"","family":"Morita","given":"Celso","non-dropping-particle":"","parse-names":false,"suffix":""},{"dropping-particle":"","family":"Rodriguez","given":"Ever Ernesto Caso","non-dropping-particle":"","parse-names":false,"suffix":""},{"dropping-particle":"","family":"Abdallah","given":"Smairah Frutuoso","non-dropping-particle":"","parse-names":false,"suffix":""},{"dropping-particle":"","family":"Silva","given":"Felipe T.G.","non-dropping-particle":"Da","parse-names":false,"suffix":""},{"dropping-particle":"","family":"Hirata","given":"Carlos Eduardo","non-dropping-particle":"","parse-names":false,"suffix":""},{"dropping-particle":"","family":"Yamamoto","given":"Joyce Hisae","non-dropping-particle":"","parse-names":false,"suffix":""}],"container-title":"Orphanet Journal of Rare Diseases","id":"ITEM-2","issue":"1","issued":{"date-parts":[["2016"]]},"title":"Vogt-Koyanagi-Harada disease: Review of a rare autoimmune disease targeting antigens of melanocytes","type":"article","volume":"11"},"uris":["http://www.mendeley.com/documents/?uuid=e060e33a-35ac-4dc2-afb9-f78d7f606ef7"]}],"mendeley":{"formattedCitation":"[1, 2]","plainTextFormattedCitation":"[1, 2]","previouslyFormattedCitation":"[1, 2]"},"properties":{"noteIndex":0},"schema":"https://github.com/citation-style-language/schema/raw/master/csl-citation.json"}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 2]</w:t>
      </w:r>
      <w:r w:rsidRPr="008B2CC8">
        <w:rPr>
          <w:rFonts w:cs="Arial"/>
          <w:sz w:val="22"/>
          <w:szCs w:val="22"/>
          <w:lang w:val="en-US"/>
        </w:rPr>
        <w:fldChar w:fldCharType="end"/>
      </w:r>
      <w:r w:rsidRPr="008B2CC8">
        <w:rPr>
          <w:rFonts w:cs="Arial"/>
          <w:sz w:val="22"/>
          <w:szCs w:val="22"/>
          <w:lang w:val="en-US"/>
        </w:rPr>
        <w:t xml:space="preserve"> When prompt diagnosis is made and appropriate </w:t>
      </w:r>
      <w:r w:rsidR="00343D00" w:rsidRPr="008B2CC8">
        <w:rPr>
          <w:rFonts w:cs="Arial"/>
          <w:sz w:val="22"/>
          <w:szCs w:val="22"/>
          <w:lang w:val="en-US"/>
        </w:rPr>
        <w:t>immunosuppressive therapy (</w:t>
      </w:r>
      <w:r w:rsidR="00961BF5" w:rsidRPr="008B2CC8">
        <w:rPr>
          <w:rFonts w:cs="Arial"/>
          <w:sz w:val="22"/>
          <w:szCs w:val="22"/>
          <w:lang w:val="en-US"/>
        </w:rPr>
        <w:t>IMT</w:t>
      </w:r>
      <w:r w:rsidR="00343D00" w:rsidRPr="008B2CC8">
        <w:rPr>
          <w:rFonts w:cs="Arial"/>
          <w:sz w:val="22"/>
          <w:szCs w:val="22"/>
          <w:lang w:val="en-US"/>
        </w:rPr>
        <w:t>)</w:t>
      </w:r>
      <w:r w:rsidRPr="008B2CC8">
        <w:rPr>
          <w:rFonts w:cs="Arial"/>
          <w:sz w:val="22"/>
          <w:szCs w:val="22"/>
          <w:lang w:val="en-US"/>
        </w:rPr>
        <w:t xml:space="preserve"> is installed, visual prognosis is generally favorable, with 66% of patients having final visual acuity (VA) better than 20/40.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{"citationItems":[{"id":"ITEM-1","itemData":{"DOI":"10.1186/s13023-016-0412-4","ISSN":"17501172","abstract":"Vogt-Koyanagi-Harada disease (VKHD) is a rare granulomatous inflammatory disease that affects pigmented structures, such as eye, inner ear, meninges, skin and hair. This disease is mainly a Th1 lymphocyte mediated aggression to melanocytes after a viral trigger in the presence of HLA-DRB1</w:instrText>
      </w:r>
      <w:r w:rsidRPr="008B2CC8">
        <w:rPr>
          <w:rFonts w:ascii="Cambria Math" w:hAnsi="Cambria Math" w:cs="Cambria Math"/>
          <w:sz w:val="22"/>
          <w:szCs w:val="22"/>
          <w:lang w:val="en-US"/>
        </w:rPr>
        <w:instrText>∗</w:instrText>
      </w:r>
      <w:r w:rsidRPr="008B2CC8">
        <w:rPr>
          <w:rFonts w:cs="Arial"/>
          <w:sz w:val="22"/>
          <w:szCs w:val="22"/>
          <w:lang w:val="en-US"/>
        </w:rPr>
        <w:instrText>0405 allele. The absence of ocular trauma or previous intraocular surgery sets VKHD appart from sympathetic ophthalmia, its main differential diagnosis. The disease has an acute onset of bilateral blurred vision with hyperemia preceded by flu-like symptoms. The acute uveitic stage is characterized by a diffuse choroiditis with serous retinal detachment and optic disc hyperemia and edema. Fluorescein angiography in this phase demonstrates multiple early hyperfluorescent points. After the acute uveitic stage, ocular and integumentary system pigmentary changes may appear. Ocular findings may be accompanied by lymphocytic meningitis, hearing impairment and/or tinnitus in a variable proportion of patients. Prompt diagnosis followed by early, aggressive and long-term treatment with high-dose corticosteroids is most often ensued by good visual outcomes. However, some patients may experience chronic uveal inflammation with functional eye deterioration. The current review discusses the general features of VKHD, including epidemiology, classification into categories, differential diagnosis and current therapeutic approaches.","author":[{"dropping-particle":"","family":"Lavezzo","given":"Marcelo Mendes","non-dropping-particle":"","parse-names":false,"suffix":""},{"dropping-particle":"","family":"Sakata","given":"Viviane Mayumi","non-dropping-particle":"","parse-names":false,"suffix":""},{"dropping-particle":"","family":"Morita","given":"Celso","non-dropping-particle":"","parse-names":false,"suffix":""},{"dropping-particle":"","family":"Rodriguez","given":"Ever Ernesto Caso","non-dropping-particle":"","parse-names":false,"suffix":""},{"dropping-particle":"","family":"Abdallah","given":"Smairah Frutuoso","non-dropping-particle":"","parse-names":false,"suffix":""},{"dropping-particle":"","family":"Silva","given":"Felipe T.G.","non-dropping-particle":"Da","parse-names":false,"suffix":""},{"dropping-particle":"","family":"Hirata","given":"Carlos Eduardo","non-dropping-particle":"","parse-names":false,"suffix":""},{"dropping-particle":"","family":"Yamamoto","given":"Joyce Hisae","non-dropping-particle":"","parse-names":false,"suffix":""}],"container-title":"Orphanet Journal of Rare Diseases","id":"ITEM-1","issue":"1","issued":{"date-parts":[["2016"]]},"title":"Vogt-Koyanagi-Harada disease: Review of a rare autoimmune disease targeting antigens of melanocytes","type":"article","volume":"11"},"uris":["http://www.mendeley.com/documents/?uuid=e060e33a-35ac-4dc2-afb9-f78d7f606ef7"]},{"id":"ITEM-2","itemData":{"DOI":"10.1016/S0039-6257(05)80105-5","ISSN":"00396257","abstract":"The Vogt-Koyanagi-Harada syndrome (VKH) is a bilateral, diffuse granulomatous uveitis associated with poliosis, vitiligo, alopecia, and central nervous system and auditory signs. These manifestations are variable and race dependent. This inflammatory syndrome is probably the result of an autoimmune mechanism, influenced by genetic factors, and appears to be directed against melanocytes. On histopathologic examination typical cases show nonnecrotizing diffuse granulomatous panuveitis with initial sparing and late involvement of the choriocapillaris and formation of Dalen-Fuchs' nodules. Fluorescein angiography, lumbar puncture, and echography are useful adjuncts in the diagnosis and management of VKH syndrome. Patients with this syndrome are treated generally with high dose systemic corticosteroids or, when necessary, with cyclosporine or cytotoxic agents. The prognosis of patients with VKH syndrome is fair, with nearly 60% of patients retaining vision of 20/30 or better. The complications of VKH syndrome that lead to visual loss include cataracts in about 25% of patients, glaucoma in 33%, and subretinal neovascular membranes (SRNVMs) in about 10%; the latter, however, are an important cause of late visual loss. These complications usually require medical and/or surgical intervention, including photocoagulation. The major risk factor for the development of cataracts, SRNVMs, and, to some extent, glaucoma, is chronic recurrent intraocular inflammation that may be resistant to corticosteroid therapy. It appears that initial treatment with high dose corticosteroids, combined with prolonged corticosteroid therapy at appropriate dosage, may minimize these complications and may improve visual prognosis. © 1995 Survey of Ophthalmology, Inc. All rights reserved.","author":[{"dropping-particle":"","family":"Moorthy","given":"Ramana S.","non-dropping-particle":"","parse-names":false,"suffix":""},{"dropping-particle":"","family":"Inomata","given":"Hajime","non-dropping-particle":"","parse-names":false,"suffix":""},{"dropping-particle":"","family":"Rao","given":"Narsing A.","non-dropping-particle":"","parse-names":false,"suffix":""}],"container-title":"Survey of Ophthalmology","id":"ITEM-2","issued":{"date-parts":[["1995"]]},"title":"Vogt-Koyanagi-Harada syndrome","type":"article"},"uris":["http://www.mendeley.com/documents/?uuid=6ae7175f-0cdc-41b7-aa35-bec825b3ce15"]}],"mendeley":{"formattedCitation":"[1, 2]","plainTextFormattedCitation":"[1, 2]","previouslyFormattedCitation":"[1, 2]"},"properties":{"noteIndex":0},"schema":"https://github.com/citation-style-language/schema/raw/master/csl-citation.json"}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 2]</w:t>
      </w:r>
      <w:r w:rsidRPr="008B2CC8">
        <w:rPr>
          <w:rFonts w:cs="Arial"/>
          <w:sz w:val="22"/>
          <w:szCs w:val="22"/>
          <w:lang w:val="en-US"/>
        </w:rPr>
        <w:fldChar w:fldCharType="end"/>
      </w:r>
      <w:r w:rsidRPr="008B2CC8">
        <w:rPr>
          <w:rFonts w:cs="Arial"/>
          <w:sz w:val="22"/>
          <w:szCs w:val="22"/>
          <w:lang w:val="en-US"/>
        </w:rPr>
        <w:t xml:space="preserve"> Despite the good VA, some patients still complain of visual disturbances and other functional measurements are important to better understand the impact of the disease in retinal function. </w:t>
      </w:r>
    </w:p>
    <w:p w14:paraId="09CA5178" w14:textId="10B66992"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 xml:space="preserve">Multifocal electroretinogram (mfERG) is an electrophysiological examination that objectively creates a functional map of the central retina by selecting electrical responses from both the photoreceptors and the inner retinal layers of the macular area, which are tested simultaneously.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{"citationItems":[{"id":"ITEM-1","itemData":{"DOI":"10.2147/OPTH.S54838","ISSN":"11775467","abstract":"Purpose: Uveitis is the inflammation of the uveal tract, which usually also affects the retina and vitreous humor. The electrophysiological examination is an objective ocular examination that includes the electroretinogram, visual evoked potentials, the electrooculogram, the multifocal electroretinogram, and multifocal visual evoked potentials. Our aim is to review the literature of the use of the electrophysiological examination in cases of uveitis. Methods: We performed a systematic search of the literature of published papers until October 2012 using the PubMed search engine. The key terms that were used were \"uveitis,\" \"electrophysiological examination\", \"electroretinogram\", \"visual evoked potentials\", \"electro-oculogram\", \"multifocal electroretinogram\", and \"multifocal visual evoked potentials\" in multiple combinations. To the best of our knowledge, this is the first review concerning the assessment of electrophysiology in uveitis. Results: Our search of the literature demonstrated that the electrophysiological examination, mainly by means of electroretinogram, multifocal electroretinogram, and visual evoked potentials, is performed in several cases of uveitis for many purposes, including diagnosis and monitoring of disease progression and treatment efficacy. The electrophysiological examination is more useful in patients with multiple evanescent white dot syndrome, acute posterior multifocal placoid pigment epitheliopathy, birdshot chorioretinopathy, Vogt-Koyanagi-Harada disease, Adamantiades-Behçet disease, ocular syphilis, and Fuchs heterochromic cyclitis. Conclusion: This review summarizes the use of the electrophysiological examination in uveitic patients and underlines its value as a useful tool in the objective assessment and the monitoring of the disease. © 2014 Moschos et al.","author":[{"dropping-particle":"","family":"Moschos","given":"Marilita M.","non-dropping-particle":"","parse-names":false,"suffix":""},{"dropping-particle":"","family":"Gouliopoulos","given":"Nikolaos S.","non-dropping-particle":"","parse-names":false,"suffix":""},{"dropping-particle":"","family":"Kalogeropoulos","given":"Christos","non-dropping-particle":"","parse-names":false,"suffix":""}],"container-title":"Clinical Ophthalmology","id":"ITEM-1","issued":{"date-parts":[["2014"]]},"title":"Electrophysiological examination in uveitis: A review of the literature","type":"article"},"uris":["http://www.mendeley.com/documents/?uuid=171ea7e3-0b9b-4212-9015-edc3ab62c768","http://www.mendeley.com/documents/?uuid=6f13d412-901d-4a99-984b-2754288496a4"]}],"mendeley":{"formattedCitation":"[3]","plainTextFormattedCitation":"[3]","previouslyFormattedCitation":"[3]"},"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[3]</w:t>
      </w:r>
      <w:r w:rsidRPr="008B2CC8">
        <w:rPr>
          <w:rFonts w:cs="Arial"/>
          <w:sz w:val="22"/>
          <w:szCs w:val="22"/>
          <w:lang w:val="en-US"/>
        </w:rPr>
        <w:fldChar w:fldCharType="end"/>
      </w:r>
      <w:r w:rsidRPr="008B2CC8">
        <w:rPr>
          <w:rFonts w:cs="Arial"/>
          <w:sz w:val="22"/>
          <w:szCs w:val="22"/>
          <w:lang w:val="en-US"/>
        </w:rPr>
        <w:t xml:space="preserve"> In VKHD, mfERG has proven to be a useful and sensitive tool for the </w:t>
      </w:r>
      <w:r w:rsidRPr="008B2CC8">
        <w:rPr>
          <w:rFonts w:cs="Arial"/>
          <w:sz w:val="22"/>
          <w:szCs w:val="22"/>
          <w:lang w:val="en-US"/>
        </w:rPr>
        <w:lastRenderedPageBreak/>
        <w:t xml:space="preserve">detection of early retinal damage, since its responses may be reduced in patients with normal VA and no obvious retinal atrophy.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{"citationItems":[{"id":"ITEM-1","itemData":{"DOI":"10.1007/s00417-005-1156-3","ISSN":"0721832X","abstract":"Background: Vogt-Koyanagi-Harada (VKH) disease presents with anterior segment inflammation, choroiditis and exudative retinal detachment. Following resolution of the inflammation, VKH patients have been noted to complain of visual disturbances despite good visual acuity. We therefore investigated the visual function deficits of convalescent VKH patients. Methods: A cross-sectional observational nonrandomized controlled study of convalescent VKH patients from the Uveitis Service of the Singapore National Eye Centre, and normal subjects was performed. The best-corrected visual acuities (BCVA) and multifocal electroretinograms (mfERGs) of VKH patients with and without peripapillary atrophy (PPA) were compared with those of the normal eyes. The mfERG results were subdivided into those obtained from the peripapillary area and those from the rest of the macular. Results: Eleven VKH eyes with large PPA to disc ratios (PPA/D ratio &gt;2), 15 VKH eyes with PPA/D ratios &lt; 1 and 6 normal eyes were included in the study. Five eyes (54.5%) of VKH patients with PPA/D&gt;2 had a BCVA of less than 20/40. All the other eyes had 20/20 vision. Nine of the 11 VKH eyes with PPA/D&gt;2 also had large areas of chorioretinal atrophy. The mfERG responses of VKH eyes with PPA/D ratio &gt;2 were markedly reduced in amplitude (p&lt;0.001) and delayed in implicit time (p&lt;0.001) throughout the entire macular area. VKH patients with PPA/D ratio&lt;1 had significantly reduced mfERG amplitudes throughout the entire macular area, as well as delayed implicit times at the peripapillary region (p=0.026). Sub-division of VKH eyes with PPA/D&lt;1 into eyes with no PPA and eyes with a small PPA, showed that both groups had a similar reduction in response amplitude over the entire macular region. However, the implicit time was significantly delayed in eyes with small PPA when compared to those without PPA (p&lt;0.03). Conclusions: VKH patients with large PPA have clinically significant visual dysfunction. VKH patients without PPA also have subclinical retinal dysfunction. The mfERG may be a useful adjunct in the management of VKH by detecting early retinal damage. © Springer-Verlag 2005.","author":[{"dropping-particle":"","family":"Chee","given":"Soon Phaik","non-dropping-particle":"","parse-names":false,"suffix":""},{"dropping-particle":"","family":"Luu","given":"Chi D.","non-dropping-particle":"","parse-names":false,"suffix":""},{"dropping-particle":"","family":"Cheng Ching-Li","given":"C. L.","non-dropping-particle":"","parse-names":false,"suffix":""},{"dropping-particle":"","family":"Lim","given":"Wee Kiak","non-dropping-particle":"","parse-names":false,"suffix":""},{"dropping-particle":"","family":"Jap","given":"Aliza","non-dropping-particle":"","parse-names":false,"suffix":""}],"container-title":"Graefe's Archive for Clinical and Experimental Ophthalmology","id":"ITEM-1","issued":{"date-parts":[["2005"]]},"title":"Visual function in Vogt-Koyanagi-Harada patients","type":"article-journal"},"uris":["http://www.mendeley.com/documents/?uuid=af848156-639a-456c-95ac-b2fdff12c3e1"]}],"mendeley":{"formattedCitation":"[4]","plainTextFormattedCitation":"[4]","previouslyFormattedCitation":"[4]"},"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[4]</w:t>
      </w:r>
      <w:r w:rsidRPr="008B2CC8">
        <w:rPr>
          <w:rFonts w:cs="Arial"/>
          <w:sz w:val="22"/>
          <w:szCs w:val="22"/>
          <w:lang w:val="en-US"/>
        </w:rPr>
        <w:fldChar w:fldCharType="end"/>
      </w:r>
      <w:r w:rsidRPr="008B2CC8">
        <w:rPr>
          <w:rFonts w:cs="Arial"/>
          <w:sz w:val="22"/>
          <w:szCs w:val="22"/>
          <w:lang w:val="en-US"/>
        </w:rPr>
        <w:t xml:space="preserve"> It has also been shown that </w:t>
      </w:r>
      <w:r w:rsidR="00961BF5" w:rsidRPr="008B2CC8">
        <w:rPr>
          <w:rFonts w:cs="Arial"/>
          <w:sz w:val="22"/>
          <w:szCs w:val="22"/>
          <w:lang w:val="en-US"/>
        </w:rPr>
        <w:t>IMT</w:t>
      </w:r>
      <w:r w:rsidRPr="008B2CC8">
        <w:rPr>
          <w:rFonts w:cs="Arial"/>
          <w:sz w:val="22"/>
          <w:szCs w:val="22"/>
          <w:lang w:val="en-US"/>
        </w:rPr>
        <w:t xml:space="preserve"> in VKHD leads to an earlier, faster and better recovery of VA and a delayed and limited recovery of macular function measured with mfERG after 12 months of treatment.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{"citationItems":[{"id":"ITEM-1","itemData":{"DOI":"10.1016/j.ajo.2008.05.044","ISSN":"00029394","abstract":"Purpose: We longitudinally investigated macular function by multifocal electroretinography (mfERG) in a cohort of patients with Vogt-Koyanagi-Harada (VKH) syndrome. Design: Prospective study. Methods: VKH syndrome was diagnosed in 11 patients (22 eyes) according to history and ocular examinations. They were treated with immunosuppressive agents and the macular function was evaluated using best-corrected visual acuity (BCVA) and mfERG before treatment and one, three, six, and 12 months after treatment. Results: All investigated patients with VKH syndrome showed active intraocular inflammation at their first visit. A decreased visual acuity (VA) and abnormalities of mfERG were observed in all these patients. VA rapidly improved at one and three months and gradually improved thereafter. All but one eye achieved a BCVA of ≥20/25 at 12 months following treatment. The N1 amplitude and latency were significantly improved at three and six months and continuously improved thereafter. The P1 amplitude and latency were significantly improved at one and three months and progressively improved thereafter. However, the amplitude of N1 and P1 waves was still significantly decreased at 12 months. Conclusion: Macular function revealed by Snellen chart and mfERG is severely impaired in VKH patients with active uveitis. Treatment with immunosuppressive agents leads to an earlier, faster, and better recovery of VA, and a delayed but limited recovery of macular function as indicated by mfERG at 12 months. MfERG could be an ancillary test that may be useful in guiding therapy of patients with VKH syndrome. © 2008 Elsevier Inc. All rights reserved.","author":[{"dropping-particle":"","family":"Yang","given":"Peizeng","non-dropping-particle":"","parse-names":false,"suffix":""},{"dropping-particle":"","family":"Fang","given":"Wang","non-dropping-particle":"","parse-names":false,"suffix":""},{"dropping-particle":"","family":"Wang","given":"Li","non-dropping-particle":"","parse-names":false,"suffix":""},{"dropping-particle":"","family":"Wen","given":"Feng","non-dropping-particle":"","parse-names":false,"suffix":""},{"dropping-particle":"","family":"Wu","given":"Weiju","non-dropping-particle":"","parse-names":false,"suffix":""},{"dropping-particle":"","family":"Kijlstra","given":"Aize","non-dropping-particle":"","parse-names":false,"suffix":""}],"container-title":"American Journal of Ophthalmology","id":"ITEM-1","issued":{"date-parts":[["2008"]]},"title":"Study of Macular Function by Multifocal Electroretinography in Patients With Vogt-Koyanagi-Harada Syndrome","type":"article-journal"},"uris":["http://www.mendeley.com/documents/?uuid=65a21fb8-310f-4b5f-af2f-4bd725b2e9cf"]}],"mendeley":{"formattedCitation":"[5]","plainTextFormattedCitation":"[5]","previouslyFormattedCitation":"[5]"},"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[5]</w:t>
      </w:r>
      <w:r w:rsidRPr="008B2CC8">
        <w:rPr>
          <w:rFonts w:cs="Arial"/>
          <w:sz w:val="22"/>
          <w:szCs w:val="22"/>
          <w:lang w:val="en-US"/>
        </w:rPr>
        <w:fldChar w:fldCharType="end"/>
      </w:r>
    </w:p>
    <w:p w14:paraId="31A41913" w14:textId="40FCC6B4"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 xml:space="preserve">Standard automated perimetry (SAP) is a well-established tool for quantifying preserved central visual field (VF). It provides global indices related to VF and estimates visual sensitivities at individual locations. Loss of macular function can also be documented with SAP.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{"citationItems":[{"id":"ITEM-1","itemData":{"DOI":"10.1007/s10633-015-9482-1","ISSN":"15732622","abstract":"Purpose: To correlate multifocal electroretinogram (mfERG) findings in the macular area of glaucoma patients with automated perimetry (visual fields) and with optical coherence tomography (OCT). Methods: A two-global flash mfERG (VERIS™) was recorded in 20 eyes with primary open-angle glaucoma. The root mean square was calculated, and three response epochs were analysed: the direct component (15–45 ms) and two induced components (IC-1 at 45–75 ms and IC-2 at 75–105 ms). The central 10° of the mfERG was compared to the central 10° of the OCT and of the visual field. Responses grouped in a superior and in an inferior semicircle, extending between 10° and 20°, were also compared to the corresponding areas of the OCT and of the visual fields. In addition, the area of the papillomacular bundle was also analysed separately. Results: In glaucoma patients, mfERG responses showed a significant positive association with retinal thickness in the central 10° for IC2 (p = 0.001) and a trend for IC1 (p = 0.066). A significant association was found between the central IC1 and IC2 of the mfERG and corresponding perimetric sensitivities expressed in linear units (p &lt; 0.01). The OCT showed a positive association with visual field sensitivities (p &lt; 0.05) in all areas examined (p &lt; 0.05). Separation of the papillomacular bundle area did not improve structure–function association further. Conclusions: In our study, mfERG showed a statistically significant correlation with perimetric sensitivity measured in linear units and with structural macular changes detected with time-domain OCT.","author":[{"dropping-particle":"","family":"Ledolter","given":"Anna A.","non-dropping-particle":"","parse-names":false,"suffix":""},{"dropping-particle":"","family":"Monhart","given":"Matthias","non-dropping-particle":"","parse-names":false,"suffix":""},{"dropping-particle":"","family":"Schoetzau","given":"Andreas","non-dropping-particle":"","parse-names":false,"suffix":""},{"dropping-particle":"","family":"Todorova","given":"Margarita G.","non-dropping-particle":"","parse-names":false,"suffix":""},{"dropping-particle":"","family":"Palmowski-Wolfe","given":"Anja M.","non-dropping-particle":"","parse-names":false,"suffix":""}],"container-title":"Documenta Ophthalmologica","id":"ITEM-1","issued":{"date-parts":[["2015"]]},"title":"Structural and functional changes in glaucoma: comparing the two-flash multifocal electroretinogram to optical coherence tomography and visual fields","type":"article-journal"},"uris":["http://www.mendeley.com/documents/?uuid=32884a9e-e861-4254-8e18-20fc3520537c"]}],"mendeley":{"formattedCitation":"[6]","plainTextFormattedCitation":"[6]","previouslyFormattedCitation":"[6]"},"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[6]</w:t>
      </w:r>
      <w:r w:rsidRPr="008B2CC8">
        <w:rPr>
          <w:rFonts w:cs="Arial"/>
          <w:sz w:val="22"/>
          <w:szCs w:val="22"/>
          <w:lang w:val="en-US"/>
        </w:rPr>
        <w:fldChar w:fldCharType="end"/>
      </w:r>
      <w:r w:rsidRPr="008B2CC8">
        <w:rPr>
          <w:rFonts w:cs="Arial"/>
          <w:sz w:val="22"/>
          <w:szCs w:val="22"/>
          <w:lang w:val="en-US"/>
        </w:rPr>
        <w:t xml:space="preserve"> Yang et al. investigated the changes of color vision and central VF in a cohort of patients with VKHD.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{"citationItems":[{"id":"ITEM-1","itemData":{"DOI":"10.1007/s12348-011-0055-5","ISSN":"18695760","abstract":"Purpose: To investigate the changes of color vision and central visual field in a cohort of patients with Vogt-Koyanagi-Harada (VKH) syndrome. Methods: Sixteen VKH patients (32 eyes) were enrolled in this study. All the patients were treated with immunosuppressive agents. The best visual acuity, visual field testing and color vision testing were available from the records in all these patients at different time points, i.e. before treatment and 1 month (±7 days), 3 months (±15 days), 6 months (±20 days) and 12 months (±30 days) after treatment. Results: All patients showed active intraocular inflammation at their first visit. A decreased visual acuity, abnormality of color vision and abnormal visual field were observed at presentation. Visual acuity and color vision rapidly improved at 1 and 3 months and gradually improved thereafter. Visual field defects significantly improved at 6 months and gradually improved thereafter. However, visual field defects were still observed in 27.5% of the tested patients following a 12-month treatment. Color vision returned to the normal level only in about one-third of these patients at this time point. Conclusions: Visual function was severely impaired in VKH patients with active uveitis but rapidly improved following immunosuppressive therapy. Visual fields are much more severely affected by the disease than visual acuity and its improvement lagged behind that of visual acuity and color vision. © 2012 Springer-Verlag.","author":[{"dropping-particle":"","family":"Yang","given":"Peizeng","non-dropping-particle":"","parse-names":false,"suffix":""},{"dropping-particle":"","family":"Sun","given":"Min","non-dropping-particle":"","parse-names":false,"suffix":""},{"dropping-particle":"","family":"Liu","given":"Xiaoli","non-dropping-particle":"","parse-names":false,"suffix":""},{"dropping-particle":"","family":"Zhou","given":"Hongyan","non-dropping-particle":"","parse-names":false,"suffix":""},{"dropping-particle":"","family":"Fang","given":"Wang","non-dropping-particle":"","parse-names":false,"suffix":""},{"dropping-particle":"","family":"Wang","given":"Li","non-dropping-particle":"","parse-names":false,"suffix":""},{"dropping-particle":"","family":"Kijlstra","given":"Aize","non-dropping-particle":"","parse-names":false,"suffix":""}],"container-title":"Journal of Ophthalmic Inflammation and Infection","id":"ITEM-1","issued":{"date-parts":[["2012"]]},"title":"Alterations of color vision and central visual field in patients with Vogt-Koyanagi-Harada syndrome","type":"article-journal"},"uris":["http://www.mendeley.com/documents/?uuid=ef442d5e-520b-4541-811b-f74627b48862"]}],"mendeley":{"formattedCitation":"[7]","plainTextFormattedCitation":"[7]","previouslyFormattedCitation":"[7]"},"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[7]</w:t>
      </w:r>
      <w:r w:rsidRPr="008B2CC8">
        <w:rPr>
          <w:rFonts w:cs="Arial"/>
          <w:sz w:val="22"/>
          <w:szCs w:val="22"/>
          <w:lang w:val="en-US"/>
        </w:rPr>
        <w:fldChar w:fldCharType="end"/>
      </w:r>
      <w:r w:rsidRPr="008B2CC8">
        <w:rPr>
          <w:rFonts w:cs="Arial"/>
          <w:sz w:val="22"/>
          <w:szCs w:val="22"/>
          <w:lang w:val="en-US"/>
        </w:rPr>
        <w:t xml:space="preserve"> They demonstrated that VF are much more severely affected by the disease than VA and its improvement lagged behind that of VA and color vision following </w:t>
      </w:r>
      <w:r w:rsidR="00961BF5" w:rsidRPr="008B2CC8">
        <w:rPr>
          <w:rFonts w:cs="Arial"/>
          <w:sz w:val="22"/>
          <w:szCs w:val="22"/>
          <w:lang w:val="en-US"/>
        </w:rPr>
        <w:t>IMT</w:t>
      </w:r>
      <w:r w:rsidRPr="008B2CC8">
        <w:rPr>
          <w:rFonts w:cs="Arial"/>
          <w:sz w:val="22"/>
          <w:szCs w:val="22"/>
          <w:lang w:val="en-US"/>
        </w:rPr>
        <w:t xml:space="preserve">.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{"citationItems":[{"id":"ITEM-1","itemData":{"DOI":"10.1007/s12348-011-0055-5","ISSN":"18695760","abstract":"Purpose: To investigate the changes of color vision and central visual field in a cohort of patients with Vogt-Koyanagi-Harada (VKH) syndrome. Methods: Sixteen VKH patients (32 eyes) were enrolled in this study. All the patients were treated with immunosuppressive agents. The best visual acuity, visual field testing and color vision testing were available from the records in all these patients at different time points, i.e. before treatment and 1 month (±7 days), 3 months (±15 days), 6 months (±20 days) and 12 months (±30 days) after treatment. Results: All patients showed active intraocular inflammation at their first visit. A decreased visual acuity, abnormality of color vision and abnormal visual field were observed at presentation. Visual acuity and color vision rapidly improved at 1 and 3 months and gradually improved thereafter. Visual field defects significantly improved at 6 months and gradually improved thereafter. However, visual field defects were still observed in 27.5% of the tested patients following a 12-month treatment. Color vision returned to the normal level only in about one-third of these patients at this time point. Conclusions: Visual function was severely impaired in VKH patients with active uveitis but rapidly improved following immunosuppressive therapy. Visual fields are much more severely affected by the disease than visual acuity and its improvement lagged behind that of visual acuity and color vision. © 2012 Springer-Verlag.","author":[{"dropping-particle":"","family":"Yang","given":"Peizeng","non-dropping-particle":"","parse-names":false,"suffix":""},{"dropping-particle":"","family":"Sun","given":"Min","non-dropping-particle":"","parse-names":false,"suffix":""},{"dropping-particle":"","family":"Liu","given":"Xiaoli","non-dropping-particle":"","parse-names":false,"suffix":""},{"dropping-particle":"","family":"Zhou","given":"Hongyan","non-dropping-particle":"","parse-names":false,"suffix":""},{"dropping-particle":"","family":"Fang","given":"Wang","non-dropping-particle":"","parse-names":false,"suffix":""},{"dropping-particle":"","family":"Wang","given":"Li","non-dropping-particle":"","parse-names":false,"suffix":""},{"dropping-particle":"","family":"Kijlstra","given":"Aize","non-dropping-particle":"","parse-names":false,"suffix":""}],"container-title":"Journal of Ophthalmic Inflammation and Infection","id":"ITEM-1","issued":{"date-parts":[["2012"]]},"title":"Alterations of color vision and central visual field in patients with Vogt-Koyanagi-Harada syndrome","type":"article-journal"},"uris":["http://www.mendeley.com/documents/?uuid=ef442d5e-520b-4541-811b-f74627b48862"]}],"mendeley":{"formattedCitation":"[7]","plainTextFormattedCitation":"[7]","previouslyFormattedCitation":"[7]"},"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[7]</w:t>
      </w:r>
      <w:r w:rsidRPr="008B2CC8">
        <w:rPr>
          <w:rFonts w:cs="Arial"/>
          <w:sz w:val="22"/>
          <w:szCs w:val="22"/>
          <w:lang w:val="en-US"/>
        </w:rPr>
        <w:fldChar w:fldCharType="end"/>
      </w:r>
    </w:p>
    <w:p w14:paraId="7F62B561" w14:textId="1A06C67E"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 xml:space="preserve">Optical coherence tomography (OCT) is a rapid, non-invasive and objective method for obtaining structural measurements of </w:t>
      </w:r>
      <w:r w:rsidRPr="008B2CC8">
        <w:rPr>
          <w:rFonts w:cs="Arial"/>
          <w:color w:val="000000" w:themeColor="text1"/>
          <w:sz w:val="22"/>
          <w:szCs w:val="22"/>
          <w:lang w:val="en-US"/>
        </w:rPr>
        <w:t xml:space="preserve">all retinal layers.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{"citationItems":[{"id":"ITEM-1","itemData":{"DOI":"10.1007/s10633-012-9342-1","ISSN":"00124486","abstract":"Purpose To investigate the association between automated perimetry, multifocal electroretinogram (mfERG) and optical coherence tomography (OCT) measurements in patients with advanced retinitis pigmentosa (RP). Methods Twenty-five patients with advanced RP were included. Central visual field sensitivity (VFS) was evaluated using an average of visual sensitivity value at central four test points during central 30-2 static automated perimetry. OCT imaging was conducted, and the inner and outer segment (IS/OS) line was classified into three groups: Group 1, absence; Group 2, partially intact; and Group 3, intact. Central retinal thickness (CRT) that is the retinal thickness of central 3.0 mm was also evaluated. Average amplitude and implicit time of N1 and P1 in ring 1 and 2 were measured on mfERG. Comparisons of VFS, mfERG and OCT among the three subgroups were performed following IS/OS integrity. Relationship among VFS, mfERG and CRT was evaluated by regression analysis. Results Group 3 patients with an intact IS/OS line showed a better VFS, and amplitude of mfERG response than those of Group 1 and 2. VFS and amplitudes of mfERG were correlated significantly with CRT in linear regression analysis. Conclusions Disrupted IS/OS integrity was associated with visual dysfunction which was shown by decreased amplitude of mfERG response and reduced central VFS. CRT was significantly correlated with amplitude of mfERG response and central VFS. An eye with the more reduced CRT was associated with the worse amplitude of mfERG response and central VFS. © Springer-Verlag 2012.","author":[{"dropping-particle":"","family":"Moon","given":"Chan Hee","non-dropping-particle":"","parse-names":false,"suffix":""},{"dropping-particle":"","family":"Park","given":"Tae Kwann","non-dropping-particle":"","parse-names":false,"suffix":""},{"dropping-particle":"","family":"Ohn","given":"Young Hoon","non-dropping-particle":"","parse-names":false,"suffix":""}],"container-title":"Documenta Ophthalmologica","id":"ITEM-1","issued":{"date-parts":[["2012"]]},"title":"Association between multifocal electroretinograms, optical coherence tomography and central visual sensitivity in advanced retinitis pigmentosa","type":"article-journal"},"uris":["http://www.mendeley.com/documents/?uuid=1f83dfb2-410b-4523-999b-28d132e206fb"]},{"id":"ITEM-2","itemData":{"DOI":"10.1007/s10633-015-9482-1","ISSN":"15732622","abstract":"Purpose: To correlate multifocal electroretinogram (mfERG) findings in the macular area of glaucoma patients with automated perimetry (visual fields) and with optical coherence tomography (OCT). Methods: A two-global flash mfERG (VERIS™) was recorded in 20 eyes with primary open-angle glaucoma. The root mean square was calculated, and three response epochs were analysed: the direct component (15–45 ms) and two induced components (IC-1 at 45–75 ms and IC-2 at 75–105 ms). The central 10° of the mfERG was compared to the central 10° of the OCT and of the visual field. Responses grouped in a superior and in an inferior semicircle, extending between 10° and 20°, were also compared to the corresponding areas of the OCT and of the visual fields. In addition, the area of the papillomacular bundle was also analysed separately. Results: In glaucoma patients, mfERG responses showed a significant positive association with retinal thickness in the central 10° for IC2 (p = 0.001) and a trend for IC1 (p = 0.066). A significant association was found between the central IC1 and IC2 of the mfERG and corresponding perimetric sensitivities expressed in linear units (p &lt; 0.01). The OCT showed a positive association with visual field sensitivities (p &lt; 0.05) in all areas examined (p &lt; 0.05). Separation of the papillomacular bundle area did not improve structure–function association further. Conclusions: In our study, mfERG showed a statistically significant correlation with perimetric sensitivity measured in linear units and with structural macular changes detected with time-domain OCT.","author":[{"dropping-particle":"","family":"Ledolter","given":"Anna A.","non-dropping-particle":"","parse-names":false,"suffix":""},{"dropping-particle":"","family":"Monhart","given":"Matthias","non-dropping-particle":"","parse-names":false,"suffix":""},{"dropping-particle":"","family":"Schoetzau","given":"Andreas","non-dropping-particle":"","parse-names":false,"suffix":""},{"dropping-particle":"","family":"Todorova","given":"Margarita G.","non-dropping-particle":"","parse-names":false,"suffix":""},{"dropping-particle":"","family":"Palmowski-Wolfe","given":"Anja M.","non-dropping-particle":"","parse-names":false,"suffix":""}],"container-title":"Documenta Ophthalmologica","id":"ITEM-2","issued":{"date-parts":[["2015"]]},"title":"Structural and functional changes in glaucoma: comparing the two-flash multifocal electroretinogram to optical coherence tomography and visual fields","type":"article-journal"},"uris":["http://www.mendeley.com/documents/?uuid=32884a9e-e861-4254-8e18-20fc3520537c"]}],"mendeley":{"formattedCitation":"[6, 8]","plainTextFormattedCitation":"[6, 8]","previouslyFormattedCitation":"[6, 8]"},"properties":{"noteIndex":0},"schema":"https://github.com/citation-style-language/schema/raw/master/csl-citation.json"}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[6, 8]</w:t>
      </w:r>
      <w:r w:rsidRPr="008B2CC8">
        <w:rPr>
          <w:rFonts w:cs="Arial"/>
          <w:color w:val="000000" w:themeColor="text1"/>
          <w:sz w:val="22"/>
          <w:szCs w:val="22"/>
          <w:lang w:val="en-US"/>
        </w:rPr>
        <w:fldChar w:fldCharType="end"/>
      </w:r>
      <w:r w:rsidRPr="008B2CC8">
        <w:rPr>
          <w:rFonts w:cs="Arial"/>
          <w:sz w:val="22"/>
          <w:szCs w:val="22"/>
          <w:lang w:val="en-US"/>
        </w:rPr>
        <w:t xml:space="preserve"> Studies report a significant association of the integrity of the junction of the inner and outer segments of photoreceptors (IS/OS junction</w:t>
      </w:r>
      <w:r w:rsidR="005E3871" w:rsidRPr="008B2CC8">
        <w:rPr>
          <w:rFonts w:cs="Arial"/>
          <w:sz w:val="22"/>
          <w:szCs w:val="22"/>
          <w:lang w:val="en-US"/>
        </w:rPr>
        <w:t xml:space="preserve"> or ellipsoid zone</w:t>
      </w:r>
      <w:r w:rsidRPr="008B2CC8">
        <w:rPr>
          <w:rFonts w:cs="Arial"/>
          <w:sz w:val="22"/>
          <w:szCs w:val="22"/>
          <w:lang w:val="en-US"/>
        </w:rPr>
        <w:t xml:space="preserve">) and the cone outer segment tips (COST) line with VA, as a measure of visual function in various retinal diseases.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{"citationItems":[{"id":"ITEM-1","itemData":{"DOI":"10.1167/iovs.13-12702","ISSN":"01460404","abstract":"Purpose. To determine whether there is a significant correlation between the integrity of the foveal microstructures and the best-corrected visual acuity (BCVA) after pars plana vitrectomy for epiretinal membrane (ERM) removal. Methods. This was a retrospective, interventional case series. Forty-six eyes of 45 patients with an ERM underwent vitrectomy. The foveal area was examined by spectral-domain-optical coherence tomography (SD-OCT) preoperatively and postoperatively. The correlation between the length of the photoreceptor cone outer segment tips (COST) line defect, the inner segment/outer segment junction (IS/OS) line defect, the external limiting membrane (ELM) line defect, and the BCVA was determined. Results. The length of the COST line defect was significantly correlated with the BCVA at postoperative 1, 3, 6, 9, and 12 months (P &lt; 0.001 for all). Forward stepwise regression analyses showed that the postoperative BCVA was significantly correlated with the length of COST line defect (P &lt; 0.001) but not with the IS/OS line and ELM line defects for up to 6 months. The preoperative length of the COST line defect was significantly correlated with the postoperative BCVA at 12 months (P = 0.005), but the lengths of the IS/OS line defect and ELM line defect were not. The factor that best predicted the postoperative BCVA was the length of the preoperative COST line defect (P = 0.04) but not the preoperative BCVA (P = 0.69). Conclusions. The recovery of the foveal COST line defect is correlated with the BCVA after ERM surgery. The length of the preoperative COST line defect can predict the potential foveal function. (ClinicalTrials.gov number, NCT01549249.). © 2013 The Association for Research in Vision and Ophthalmology, Inc.","author":[{"dropping-particle":"","family":"Itoh","given":"Yuji","non-dropping-particle":"","parse-names":false,"suffix":""},{"dropping-particle":"","family":"Inoue","given":"Makoto","non-dropping-particle":"","parse-names":false,"suffix":""},{"dropping-particle":"","family":"Rii","given":"Tosho","non-dropping-particle":"","parse-names":false,"suffix":""},{"dropping-particle":"","family":"Hirota","given":"Kazunari","non-dropping-particle":"","parse-names":false,"suffix":""},{"dropping-particle":"","family":"Hirakata","given":"Akito","non-dropping-particle":"","parse-names":false,"suffix":""}],"container-title":"Investigative Ophthalmology and Visual Science","id":"ITEM-1","issued":{"date-parts":[["2013"]]},"title":"Correlation between foveal cone outer segment tips line and visual recovery after epiretinal membrane surgery","type":"article-journal"},"uris":["http://www.mendeley.com/documents/?uuid=edac1b39-6f12-4d10-9b13-3cedf1b510cd"]},{"id":"ITEM-2","itemData":{"DOI":"10.1016/j.ajo.2012.03.043","ISSN":"00029394","abstract":"Purpose: To investigate the relationship between the integrity of the photoreceptor microstructures and retinal sensitivity after half-dose photodynamic therapy (PDT) in eyes with chronic central serous chorioretinopathy (CSC). Design: Prospective, noncomparative, interventional case series. Methods: Thirteen eyes of 13 patients with chronic CSC who had received half-dose verteporfin PDT were studied. The best-corrected visual acuity (BCVA), macular retinal sensitivity in the central 12 degrees, and optical coherence tomographic (OCT) findings were evaluated at baseline and at 1, 3, 6, and 12 months after the half-dose PDT. The integrities of the external limiting membrane (ELM), the inner segment/outer segment junction (IS/OS) line, and the cone outer segment tips (COST) line were determined. The retinal sensitivity was determined by MP-1 microperimetry. Results: The serous retinal detachment (SRD) was completely resolved in 11 eyes at 1 month and in 1 eye at 3 months. The remaining eye had a persistent SRD throughout the follow-up period. The mean retinal sensitivity was significantly better at 1, 3, 6, and 12 months after the half-dose PDT than at baseline. Before the PDT, 12 eyes had a continuous ELM and 1 eye had a fragmented ELM. The number of eyes with an intact IS/OS line and COST line increased with increasing post-PDT time. At 12 months after PDT, the IS/OS line was detected in 11 eyes and the COST line in 6 eyes. At 6 and 12 months, the retinal sensitivity was significantly higher in eyes with an intact COST line and IS/OS lines than in eyes with an intact IS/OS line only. However, no difference was found in the visual acuity of these 2 groups. The 1 eye with a persistent SRD and another eye with fragmented ELM and absent IS/OS and COST lines through the follow-up periods were associated with poor retinal sensitivity of 8.5 dB and 10.9 dB respectively. Conclusions: Our findings show that there is a significant improvement in the macular sensitivity after half-dose PDT in eyes with chronic CSC. The improvement was correlated with the recovery of the IS/OS and COST lines at 6 and 12 months. © 2012 Elsevier Inc. All rights reserved.","author":[{"dropping-particle":"","family":"Fujita","given":"Kyoko","non-dropping-particle":"","parse-names":false,"suffix":""},{"dropping-particle":"","family":"Shinoda","given":"Kei","non-dropping-particle":"","parse-names":false,"suffix":""},{"dropping-particle":"","family":"Imamura","given":"Yutaka","non-dropping-particle":"","parse-names":false,"suffix":""},{"dropping-particle":"","family":"Matsumoto","given":"Celso Soiti","non-dropping-particle":"","parse-names":false,"suffix":""},{"dropping-particle":"","family":"Mizutani","given":"Yoshihiro","non-dropping-particle":"","parse-names":false,"suffix":""},{"dropping-particle":"","family":"Mizota","given":"Atsushi","non-dropping-particle":"","parse-names":false,"suffix":""},{"dropping-particle":"","family":"Yuzawa","given":"Mitsuko","non-dropping-particle":"","parse-names":false,"suffix":""}],"container-title":"American Journal of Ophthalmology","id":"ITEM-2","issued":{"date-parts":[["2012"]]},"title":"Correlation of integrity of cone outer segment tips line with retinal sensitivity after half-dose photodynamic therapy for chronic central serous chorioretinopathy","type":"article-journal"},"uris":["http://www.mendeley.com/documents/?uuid=6417370a-b434-4b67-b0a9-5d8387fb57a6"]}],"mendeley":{"formattedCitation":"[9, 10]","plainTextFormattedCitation":"[9, 10]","previouslyFormattedCitation":"[9, 10]"},"properties":{"noteIndex":0},"schema":"https://github.com/citation-style-language/schema/raw/master/csl-citation.json"}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[9, 10]</w:t>
      </w:r>
      <w:r w:rsidRPr="008B2CC8">
        <w:rPr>
          <w:rFonts w:cs="Arial"/>
          <w:sz w:val="22"/>
          <w:szCs w:val="22"/>
          <w:lang w:val="en-US"/>
        </w:rPr>
        <w:fldChar w:fldCharType="end"/>
      </w:r>
      <w:r w:rsidRPr="008B2CC8">
        <w:rPr>
          <w:rFonts w:cs="Arial"/>
          <w:sz w:val="22"/>
          <w:szCs w:val="22"/>
          <w:lang w:val="en-US"/>
        </w:rPr>
        <w:t xml:space="preserve"> In patients with non-acute VKHD, Zhou et al. showed a strong correlation between VA and disruption in COST line and/or </w:t>
      </w:r>
      <w:r w:rsidR="005E3871" w:rsidRPr="008B2CC8">
        <w:rPr>
          <w:rFonts w:cs="Arial"/>
          <w:sz w:val="22"/>
          <w:szCs w:val="22"/>
          <w:lang w:val="en-US"/>
        </w:rPr>
        <w:t>ellipsoid zone</w:t>
      </w:r>
      <w:r w:rsidRPr="008B2CC8">
        <w:rPr>
          <w:rFonts w:cs="Arial"/>
          <w:sz w:val="22"/>
          <w:szCs w:val="22"/>
          <w:lang w:val="en-US"/>
        </w:rPr>
        <w:t xml:space="preserve"> evaluated by OCT in patients with non-acute VKHD.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{"citationItems":[{"id":"ITEM-1","itemData":{"DOI":"10.1155/2015/916485","ISSN":"20900058","abstract":"Purpose. To characterize the optical coherence tomography (OCT) findings in late-stage Vogt-Koyanagi-Harada (VKH) disease and its correlation with visual function. Methods. The records of patients with late-stage VKH disease (defined as ≥12 months from disease onset) were retrospectively reviewed. The analysis focused on the OCT findings and microperimetry, in addition to the possible correlation between morphology and functional findings. Results. Twenty-nine patients (58 eyes) were included. Mean age at onset was 34.24 ± 10.67 years. The OCT revealed that the outer retina and retinal pigment epithelium (RPE) were mainly affected. These effects included RPE thickening and breakage or disappearance of the cone outer segment tip (COST) line and/or inner segment/outer segment (IS/OS) junction. The COST line and IS/OS results were related to macular function and the interval between symptom onset and initiation of high-dose corticosteroid treatment (all P&lt;0.01). Eyes with intact COST lines demonstrated intact IS/OS and normal RPE layers as well as better visual function and normal retinal sensitivity. Conclusions. The OCT findings are strongly correlated with macular function, as well as other clinical findings in late-stage VKH. With respect to the COST line and retinal sensitivity especially, the OCT and microperimetry findings may be useful for evaluating later-stage VKH.","author":[{"dropping-particle":"","family":"Zhou","given":"Min","non-dropping-particle":"","parse-names":false,"suffix":""},{"dropping-particle":"","family":"Jiang","given":"Chunhui","non-dropping-particle":"","parse-names":false,"suffix":""},{"dropping-particle":"","family":"Gu","given":"Ruiping","non-dropping-particle":"","parse-names":false,"suffix":""},{"dropping-particle":"","family":"Sun","given":"Zhongcui","non-dropping-particle":"","parse-names":false,"suffix":""},{"dropping-particle":"","family":"Huynh","given":"Nancy","non-dropping-particle":"","parse-names":false,"suffix":""},{"dropping-particle":"","family":"Chang","given":"Qing","non-dropping-particle":"","parse-names":false,"suffix":""}],"container-title":"Journal of Ophthalmology","id":"ITEM-1","issued":{"date-parts":[["2015"]]},"title":"Correlation between Retinal Changes and Visual Function in Late-Stage Vogt-Koyanagi-Harada Disease: An Optical Coherence Tomography Study","type":"article-journal"},"uris":["http://www.mendeley.com/documents/?uuid=885ee229-844f-4ade-abd4-1d8264a70988"]}],"mendeley":{"formattedCitation":"[11]","plainTextFormattedCitation":"[11]","previouslyFormattedCitation":"[11]"},"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[11]</w:t>
      </w:r>
      <w:r w:rsidRPr="008B2CC8">
        <w:rPr>
          <w:rFonts w:cs="Arial"/>
          <w:sz w:val="22"/>
          <w:szCs w:val="22"/>
          <w:lang w:val="en-US"/>
        </w:rPr>
        <w:fldChar w:fldCharType="end"/>
      </w:r>
    </w:p>
    <w:p w14:paraId="08D55562" w14:textId="77777777"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 xml:space="preserve">Recently, many studies have been published concerning the association between functional (mfERG and SAP) and structural (OCT) measures in many ocular diseases, such as retinitis pigmentosa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{"citationItems":[{"id":"ITEM-1","itemData":{"DOI":"10.1167/iovs.11-8410","ISSN":"01460404","abstract":"PURPOSE. To compare local functional measures, the multifocal electroretinogram (mfERG) and visual field sensitivity, with a local structural measure, spectral domain (SD) optical coherence tomography (OCT), of receptor damage in patients with retinitis pigmentosa (RP). METHODS. MfERGs, visual fields, and SD-OCT scans were obtained from 10 patients with RP, ranging in age from 23 to 59 years. Average amplitudes, average linear sensitivities, and average layer thicknesses were measured from within the central 3° and from three concentric annuli located between 3° and 8°, 8° and 15°, and 15° and 24°. A computer program aided manual segmentation and calculated OCT thickness in the scans. RESULTS. Within each patient with RP, mfERG amplitude for each circle/annulus was highly correlated with corresponding layer thicknesses in the outer retina (r = 0.88 to 0.99), but not at all correlated with thickness of the inner nuclear layer or total retina. Across all ring eccentricities, relative mfERG amplitude and relative visual field sensitivity were correlated with relative SD-OCT outer retinal thickness. CONCLUSIONS. In patients with RP, preserved cone photoreceptor function measured by mfERG amplitude and visual field sensitivity correlate well with the remaining thickness of the photoreceptor layer. All three measures show comparable relative loss beyond 3° eccentricity. In the fovea, SD-OCT outer retina thickness showed less relative loss than either mfERG or visual field sensitivity. © 2012 The Association for Research in Vision and Ophthalmology, Inc.","author":[{"dropping-particle":"","family":"Wen","given":"Yuquan","non-dropping-particle":"","parse-names":false,"suffix":""},{"dropping-particle":"","family":"Klein","given":"Martin","non-dropping-particle":"","parse-names":false,"suffix":""},{"dropping-particle":"","family":"Hood","given":"Donald C.","non-dropping-particle":"","parse-names":false,"suffix":""},{"dropping-particle":"","family":"Birch","given":"David G.","non-dropping-particle":"","parse-names":false,"suffix":""}],"container-title":"Investigative Ophthalmology and Visual Science","id":"ITEM-1","issued":{"date-parts":[["2012"]]},"title":"Relationships among Multifocal Electroretinogram Amplitude, Visual Field Sensitivity, and SD-OCT Receptor Layer Thicknesses in Patients with Retinitis Pigmentosa","type":"article-journal"},"uris":["http://www.mendeley.com/documents/?uuid=b6294087-8bc2-47f8-8d1a-f02d12b14d09"]},{"id":"ITEM-2","itemData":{"DOI":"10.1007/s10633-012-9342-1","ISSN":"00124486","abstract":"Purpose To investigate the association between automated perimetry, multifocal electroretinogram (mfERG) and optical coherence tomography (OCT) measurements in patients with advanced retinitis pigmentosa (RP). Methods Twenty-five patients with advanced RP were included. Central visual field sensitivity (VFS) was evaluated using an average of visual sensitivity value at central four test points during central 30-2 static automated perimetry. OCT imaging was conducted, and the inner and outer segment (IS/OS) line was classified into three groups: Group 1, absence; Group 2, partially intact; and Group 3, intact. Central retinal thickness (CRT) that is the retinal thickness of central 3.0 mm was also evaluated. Average amplitude and implicit time of N1 and P1 in ring 1 and 2 were measured on mfERG. Comparisons of VFS, mfERG and OCT among the three subgroups were performed following IS/OS integrity. Relationship among VFS, mfERG and CRT was evaluated by regression analysis. Results Group 3 patients with an intact IS/OS line showed a better VFS, and amplitude of mfERG response than those of Group 1 and 2. VFS and amplitudes of mfERG were correlated significantly with CRT in linear regression analysis. Conclusions Disrupted IS/OS integrity was associated with visual dysfunction which was shown by decreased amplitude of mfERG response and reduced central VFS. CRT was significantly correlated with amplitude of mfERG response and central VFS. An eye with the more reduced CRT was associated with the worse amplitude of mfERG response and central VFS. © Springer-Verlag 2012.","author":[{"dropping-particle":"","family":"Moon","given":"Chan Hee","non-dropping-particle":"","parse-names":false,"suffix":""},{"dropping-particle":"","family":"Park","given":"Tae Kwann","non-dropping-particle":"","parse-names":false,"suffix":""},{"dropping-particle":"","family":"Ohn","given":"Young Hoon","non-dropping-particle":"","parse-names":false,"suffix":""}],"container-title":"Documenta Ophthalmologica","id":"ITEM-2","issued":{"date-parts":[["2012"]]},"title":"Association between multifocal electroretinograms, optical coherence tomography and central visual sensitivity in advanced retinitis pigmentosa","type":"article-journal"},"uris":["http://www.mendeley.com/documents/?uuid=1f83dfb2-410b-4523-999b-28d132e206fb"]}],"mendeley":{"formattedCitation":"[8, 12]","plainTextFormattedCitation":"[8, 12]","previouslyFormattedCitation":"[8, 12]"},"properties":{"noteIndex":0},"schema":"https://github.com/citation-style-language/schema/raw/master/csl-citation.json"}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[8, 12]</w:t>
      </w:r>
      <w:r w:rsidRPr="008B2CC8">
        <w:rPr>
          <w:rFonts w:cs="Arial"/>
          <w:sz w:val="22"/>
          <w:szCs w:val="22"/>
          <w:lang w:val="en-US"/>
        </w:rPr>
        <w:fldChar w:fldCharType="end"/>
      </w:r>
      <w:r w:rsidRPr="008B2CC8">
        <w:rPr>
          <w:rFonts w:cs="Arial"/>
          <w:sz w:val="22"/>
          <w:szCs w:val="22"/>
          <w:lang w:val="en-US"/>
        </w:rPr>
        <w:t xml:space="preserve">, retinal toxicity related to hydroxychloroquine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{"citationItems":[{"id":"ITEM-1","itemData":{"DOI":"10.1007/s00417-018-4103-9","ISSN":"1435702X","abstract":"Purpose: We aimed to find earlier morphological and functional alterations in the retinas of patients treated with hydroxychloroquine (HCQ). This was a prospective cohort study. Methods: We examined 33 patients (mean age, 57.14 [SD, 11.02] years) who were affected by various types of rheumatic diseases. The mean treatment period was 124.7 [SD, 99.4] months, and the mean total drug intake was 5.41 [SD, 3.34] g daily at baseline. The control group consisted of 28 subjects with a mean age of 61.25 [SD, 2.16 years]. The set of tests encompassed best-corrected visual acuity (BCVA), a multifocal electroretinogram (mfERG), spectral-domain optical coherence tomography (SD-OCT), fundus auto fluorescence (FAF), the 10-2 automated visual field (VF) test (10-2 VF), and frequency-doubling technology (FDT). Results: The mfERG P1 wave density amplitudes decreased in all the rings, from 31.10 to 28.02 (p = 0.008) in the first ring, and from 18.29 to 16.55 [p &lt; 0.001], from 12.050 to 10.91 [p = 0.002], from 9.53 to 8.69 [p = 0.003], and from 8.25 to 7.48 [p = 0.001] nanovolts/degree2 in rings 2, 3, 4, and 5, respectively. A significant reduction was found also in the N1 wave in the second ring. The SD-OCT retinal thickness measurement revealed significant thinning in five sectors, including the outer and inner nasal sectors, the outer and inner temporal sectors, and the inner superior sector. The 10-2 VF mean deviation paradoxically improved, while minimal FAF alterations in the retinal pigment epithelium were found in eight eyes. Conclusions: mfERGs and SD-OCT were altered in our patients before significant retinal changes occurred.","author":[{"dropping-particle":"","family":"Ruberto","given":"Giulio","non-dropping-particle":"","parse-names":false,"suffix":""},{"dropping-particle":"","family":"Bruttini","given":"Carlo","non-dropping-particle":"","parse-names":false,"suffix":""},{"dropping-particle":"","family":"Tinelli","given":"Carmine","non-dropping-particle":"","parse-names":false,"suffix":""},{"dropping-particle":"","family":"Cavagna","given":"Lorenzo","non-dropping-particle":"","parse-names":false,"suffix":""},{"dropping-particle":"","family":"Bianchi","given":"Alessandro","non-dropping-particle":"","parse-names":false,"suffix":""},{"dropping-particle":"","family":"Milano","given":"Giovanni","non-dropping-particle":"","parse-names":false,"suffix":""}],"container-title":"Graefe's Archive for Clinical and Experimental Ophthalmology","id":"ITEM-1","issued":{"date-parts":[["2018"]]},"title":"Early morpho-functional changes in patients treated with hydroxychloroquine: a prospective cohort study","type":"article-newspaper"},"uris":["http://www.mendeley.com/documents/?uuid=61e4e899-b9a5-4a81-8f41-90fdbe3c2705"]},{"id":"ITEM-2","itemData":{"DOI":"10.1136/bjo.2009.171082","ISSN":"00071161","abstract":"Aims: To assess chloroquine (CQ) toxicity by visual field testing, multifocal electroretinography (mfERG) and measurement of retinal nerve fibre layer (RNFL) thickness in patients with rheumatoid arthritis (RA) under treatment with CQ but with normal ocular fundus manifestation. Methods: 60 RA patients taking CQ, 30 RA patients not receiving CQ treatment and 100 normal subjects were enrolled in this study. Examinations included visual field testing (Humphrey 10-2 testing strategy), mfERG and scanning laser polarimetry (GDxVCC) to measure RNFL. Data from one eye of a patient were used for analysis. Results: The mfERG ring 2 data among the three groups differed, and a correlation between cumulative dose of CQ and mfERG N1 response of ring 2 was detected. Two patients in the CQ group had central or paracentral scotoma, but all others were normal. No difference in mean deviation and pattern standard deviation values of visual field were found among the three groups, and there was no correlation between the cumulative dose of CQ and these values. There was a significant negative correlation between the cumulative dose of CQ and RNFL loss and a positive correlation between the cumulative dose of CQ and the nerve fibre indicator. Conclusion: Visual field, scanning laser polarimetry and mfERG are useful tools for early detection of CQ retinopathy. Thinning RNFL and reduced ring 2 response of mfERG may be useful signs for early CQ retinopathy.","author":[{"dropping-particle":"","family":"Xiaoyun","given":"M. A.","non-dropping-particle":"","parse-names":false,"suffix":""},{"dropping-particle":"","family":"Dongyi","given":"H. E.","non-dropping-particle":"","parse-names":false,"suffix":""},{"dropping-particle":"","family":"Linping","given":"H. E.","non-dropping-particle":"","parse-names":false,"suffix":""}],"container-title":"British Journal of Ophthalmology","id":"ITEM-2","issued":{"date-parts":[["2010"]]},"title":"Assessing chloroquine toxicity in RA patients using retinal nerve fibre layer thickness, multifocal electroretinography and visual field test","type":"article-journal"},"uris":["http://www.mendeley.com/documents/?uuid=22f91dda-e52c-4a5c-b14b-a271ea444c5c"]}],"mendeley":{"formattedCitation":"[13, 14]","plainTextFormattedCitation":"[13, 14]","previouslyFormattedCitation":"[13, 14]"},"properties":{"noteIndex":0},"schema":"https://github.com/citation-style-language/schema/raw/master/csl-citation.json"}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[13, 14]</w:t>
      </w:r>
      <w:r w:rsidRPr="008B2CC8">
        <w:rPr>
          <w:rFonts w:cs="Arial"/>
          <w:sz w:val="22"/>
          <w:szCs w:val="22"/>
          <w:lang w:val="en-US"/>
        </w:rPr>
        <w:fldChar w:fldCharType="end"/>
      </w:r>
      <w:r w:rsidRPr="008B2CC8">
        <w:rPr>
          <w:rFonts w:cs="Arial"/>
          <w:sz w:val="22"/>
          <w:szCs w:val="22"/>
          <w:lang w:val="en-US"/>
        </w:rPr>
        <w:t xml:space="preserve">, glaucoma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{"citationItems":[{"id":"ITEM-1","itemData":{"DOI":"10.1007/s10633-015-9482-1","ISSN":"15732622","abstract":"Purpose: To correlate multifocal electroretinogram (mfERG) findings in the macular area of glaucoma patients with automated perimetry (visual fields) and with optical coherence tomography (OCT). Methods: A two-global flash mfERG (VERIS™) was recorded in 20 eyes with primary open-angle glaucoma. The root mean square was calculated, and three response epochs were analysed: the direct component (15–45 ms) and two induced components (IC-1 at 45–75 ms and IC-2 at 75–105 ms). The central 10° of the mfERG was compared to the central 10° of the OCT and of the visual field. Responses grouped in a superior and in an inferior semicircle, extending between 10° and 20°, were also compared to the corresponding areas of the OCT and of the visual fields. In addition, the area of the papillomacular bundle was also analysed separately. Results: In glaucoma patients, mfERG responses showed a significant positive association with retinal thickness in the central 10° for IC2 (p = 0.001) and a trend for IC1 (p = 0.066). A significant association was found between the central IC1 and IC2 of the mfERG and corresponding perimetric sensitivities expressed in linear units (p &lt; 0.01). The OCT showed a positive association with visual field sensitivities (p &lt; 0.05) in all areas examined (p &lt; 0.05). Separation of the papillomacular bundle area did not improve structure–function association further. Conclusions: In our study, mfERG showed a statistically significant correlation with perimetric sensitivity measured in linear units and with structural macular changes detected with time-domain OCT.","author":[{"dropping-particle":"","family":"Ledolter","given":"Anna A.","non-dropping-particle":"","parse-names":false,"suffix":""},{"dropping-particle":"","family":"Monhart","given":"Matthias","non-dropping-particle":"","parse-names":false,"suffix":""},{"dropping-particle":"","family":"Schoetzau","given":"Andreas","non-dropping-particle":"","parse-names":false,"suffix":""},{"dropping-particle":"","family":"Todorova","given":"Margarita G.","non-dropping-particle":"","parse-names":false,"suffix":""},{"dropping-particle":"","family":"Palmowski-Wolfe","given":"Anja M.","non-dropping-particle":"","parse-names":false,"suffix":""}],"container-title":"Documenta Ophthalmologica","id":"ITEM-1","issued":{"date-parts":[["2015"]]},"title":"Structural and functional changes in glaucoma: comparing the two-flash multifocal electroretinogram to optical coherence tomography and visual fields","type":"article-journal"},"uris":["http://www.mendeley.com/documents/?uuid=32884a9e-e861-4254-8e18-20fc3520537c"]}],"mendeley":{"formattedCitation":"[6]","plainTextFormattedCitation":"[6]","previouslyFormattedCitation":"[6]"},"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[6]</w:t>
      </w:r>
      <w:r w:rsidRPr="008B2CC8">
        <w:rPr>
          <w:rFonts w:cs="Arial"/>
          <w:sz w:val="22"/>
          <w:szCs w:val="22"/>
          <w:lang w:val="en-US"/>
        </w:rPr>
        <w:fldChar w:fldCharType="end"/>
      </w:r>
      <w:r w:rsidRPr="008B2CC8">
        <w:rPr>
          <w:rFonts w:cs="Arial"/>
          <w:sz w:val="22"/>
          <w:szCs w:val="22"/>
          <w:lang w:val="en-US"/>
        </w:rPr>
        <w:t xml:space="preserve"> and diabetic retinopathy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{"citationItems":[{"id":"ITEM-1","itemData":{"DOI":"10.1007/s10633-012-9343-0","ISSN":"0012-4486","abstract":"PURPOSE: To investigate the correlations of the global flash multifocal electroretinogram (MOFO mfERG) with common clinical visual assessments--Humphrey perimetry and Stratus circumpapillary retinal nerve fiber layer (RNFL) thickness measurement in type II diabetic patients.\\n\\nMETHODS: Forty-two diabetic patients participated in the study: Ten were free from diabetic retinopathy (DR), while the remainder suffered from mild to moderate nonproliferative diabetic retinopathy. Fourteen age-matched controls were recruited for comparison. MOFO mfERG measurements were made under high- and low-contrast conditions. Humphrey central 30-2 perimetry and Stratus OCT circumpapillary RNFL thickness measurements were also performed. Correlations between local values of implicit time and amplitude of the mfERG components [direct component (DC) and induced component (IC)], and perimetric sensitivity and RNFL thickness were evaluated by mapping the localized responses for the three subject groups.\\n\\nRESULTS: MOFO mfERG was superior to perimetry and RNFL assessments in showing differences between the diabetic groups (with and without DR) and the controls. All the MOFO mfERG amplitudes (except IC amplitude at high contrast) correlated better with perimetry findings (Pearson's r ranged from 0.23 to 0.36, p &lt; 0.01) than did the mfERG implicit time at both high and low contrasts across all subject groups. No consistent correlation was found between the mfERG and RNFL assessments for any group or contrast conditions. The responses of the local MOFO mfERG correlated with local perimetric sensitivity but not with RNFL thickness.\\n\\nCONCLUSION: Early functional changes in the diabetic retina seem to occur before morphological changes in the RNFL.","author":[{"dropping-particle":"","family":"Lung","given":"J. C. Y.","non-dropping-particle":"","parse-names":false,"suffix":""},{"dropping-particle":"","family":"Swann","given":"P. G.","non-dropping-particle":"","parse-names":false,"suffix":""},{"dropping-particle":"","family":"Wong","given":"D. S. H.","non-dropping-particle":"","parse-names":false,"suffix":""},{"dropping-particle":"","family":"Chan","given":"H. H. L.","non-dropping-particle":"","parse-names":false,"suffix":""}],"container-title":"Documenta Ophthalmologica","id":"ITEM-1","issued":{"date-parts":[["2012"]]},"title":"Global flash multifocal electroretinogram: early detection of local functional changes and its correlations with optical coherence tomography and visual field tests in diabetic eyes","type":"article-journal"},"uris":["http://www.mendeley.com/documents/?uuid=f7361b66-2d2e-4b59-9c7a-b09d22b1f6e0"]}],"mendeley":{"formattedCitation":"[15]","plainTextFormattedCitation":"[15]","previouslyFormattedCitation":"[15]"},"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[15]</w:t>
      </w:r>
      <w:r w:rsidRPr="008B2CC8">
        <w:rPr>
          <w:rFonts w:cs="Arial"/>
          <w:sz w:val="22"/>
          <w:szCs w:val="22"/>
          <w:lang w:val="en-US"/>
        </w:rPr>
        <w:fldChar w:fldCharType="end"/>
      </w:r>
      <w:r w:rsidRPr="008B2CC8">
        <w:rPr>
          <w:rFonts w:cs="Arial"/>
          <w:sz w:val="22"/>
          <w:szCs w:val="22"/>
          <w:lang w:val="en-US"/>
        </w:rPr>
        <w:t xml:space="preserve">. All these studies highlight that the objective and reliable outcome measures for retinal structure and function are necessary to monitor disease progression and fundamental for establishing a therapeutic strategy and selecting treatable patients. Studies comparing functional and structural outcomes with these tools in patients with uveitis are scarce. </w:t>
      </w:r>
      <w:r w:rsidRPr="008B2CC8">
        <w:rPr>
          <w:rFonts w:cs="Arial"/>
          <w:sz w:val="22"/>
          <w:szCs w:val="22"/>
          <w:lang w:val="en-US"/>
        </w:rPr>
        <w:fldChar w:fldCharType="begin" w:fldLock="1"/>
      </w:r>
      <w:r w:rsidRPr="008B2CC8">
        <w:rPr>
          <w:rFonts w:cs="Arial"/>
          <w:sz w:val="22"/>
          <w:szCs w:val="22"/>
          <w:lang w:val="en-US"/>
        </w:rPr>
        <w:instrText>ADDIN CSL_CITATION {"citationItems":[{"id":"ITEM-1","itemData":{"DOI":"10.1016/j.ajo.2018.11.022","ISSN":"18791891","abstract":"Purpose: The aim of this study is to investigate temporal trends in multifocal ERG (mfERG) parameters and analyze their relationships with anatomic and functional markers in patients with birdshot chorioretinopathy (BSCR). Design: Prospective observational case series. Methods: Sixteen BSCR patients were include and underwent 2 standardized follow-up (FU) visits within 5 years following a baseline examination, including mfERG, visual acuity (VA), visual field (VF), Lanthony desaturated panel D-15 test for color vision, quality of life (QoL), fluorescein and indocyanine green angiography, and optical coherence tomography (OCT). Results: A significant trend toward a decrease in absolute N1 amplitude values was observed over the follow-up period (P &lt;.001) while N1 implicit time remained unchanged. In contrast, P1 amplitude decreased (P &lt;.001) and P1 implicit time increased (P &lt;.001) over the same period. No significant temporal change was found for VA, color vision score, foveal threshold, mean deviation of VF, and QoL. After adjusting for time to FU, increasing N1 and P1 IT were both associated with decreasing values of logMAR, foveal threshold, and QoL and with increasing color vision score and mean deviation of VF. A significant relationship was observed between decreasing P1 amplitude values and increasing mean deviation of VF. Lower absolute values of N1 amplitude were associated with venous vasculitis, whereas lower P1 amplitude values correlated with alteration of the outer retina in OCT. Conclusions: Progressive deterioration in mfERG during a 5-year period is detected in BSCR, whereas classical functional test results were unchanged. This study suggests a better sensitivity of mfERG in monitoring the retinal function of BSCR patients.","author":[{"dropping-particle":"","family":"Mailhac","given":"Adriane","non-dropping-particle":"","parse-names":false,"suffix":""},{"dropping-particle":"","family":"Labarere","given":"José","non-dropping-particle":"","parse-names":false,"suffix":""},{"dropping-particle":"","family":"Aptel","given":"Florent","non-dropping-particle":"","parse-names":false,"suffix":""},{"dropping-particle":"","family":"Berthemy","given":"Sylvie","non-dropping-particle":"","parse-names":false,"suffix":""},{"dropping-particle":"","family":"Bouillet","given":"Laurence","non-dropping-particle":"","parse-names":false,"suffix":""},{"dropping-particle":"","family":"Chiquet","given":"Christophe","non-dropping-particle":"","parse-names":false,"suffix":""}],"container-title":"American Journal of Ophthalmology","id":"ITEM-1","issued":{"date-parts":[["2019"]]},"title":"Five-Year Trends in Multifocal Electroretinogram for Patients With Birdshot Chorioretinopathy","type":"article-journal"},"uris":["http://www.mendeley.com/documents/?uuid=e3b8e7b2-086e-40bc-885e-288945b4ebf1"]},{"id":"ITEM-2","itemData":{"DOI":"10.1111/j.1444-0938.2011.00679.x","ISSN":"08164622","abstract":"Background: The aim was to evaluate the correlation between the anatomical and functional outcomes before and after treatment of uveitic macular oedema. Methods: Thirty-three eyes of 33 patients with uveitic macular oedema were included in the present study. Visual acuity (VA), optical coherence tomography (OCT) and multifocal electroretinogram (mfERG) were measured before and after treatment of the macular oedema. Correlation analyses between VA, OCT and mfERG parameters were performed. Results: The VA and mfERG measurements showed statistically significant improvement after treatment of the macular oedema (p &lt; 0.01) and OCT-measured central foveal thickness decreased significantly from 434 ± 135</w:instrText>
      </w:r>
      <w:r w:rsidRPr="008B2CC8">
        <w:rPr>
          <w:rFonts w:cs="Arial" w:hint="cs"/>
          <w:sz w:val="22"/>
          <w:szCs w:val="22"/>
          <w:lang w:val="en-US"/>
        </w:rPr>
        <w:instrText>μ</w:instrText>
      </w:r>
      <w:r w:rsidRPr="008B2CC8">
        <w:rPr>
          <w:rFonts w:cs="Arial"/>
          <w:sz w:val="22"/>
          <w:szCs w:val="22"/>
          <w:lang w:val="en-US"/>
        </w:rPr>
        <w:instrText>m before treatment to 267 ± 92</w:instrText>
      </w:r>
      <w:r w:rsidRPr="008B2CC8">
        <w:rPr>
          <w:rFonts w:cs="Arial" w:hint="cs"/>
          <w:sz w:val="22"/>
          <w:szCs w:val="22"/>
          <w:lang w:val="en-US"/>
        </w:rPr>
        <w:instrText>μ</w:instrText>
      </w:r>
      <w:r w:rsidRPr="008B2CC8">
        <w:rPr>
          <w:rFonts w:cs="Arial"/>
          <w:sz w:val="22"/>
          <w:szCs w:val="22"/>
          <w:lang w:val="en-US"/>
        </w:rPr>
        <w:instrText>m after treatment (p &lt; 0.001). Correlation analyses showed that uveitic central foveal thickness before treatment was correlated with mfERG N1 response amplitude of area 1 (Spearman's r = -0.62, p &lt; 0.001). VA (logMAR) after treatment had a negative correlation with the mfERG N1 response amplitude of area 1 (Spearman's r = -0.56, p = 0.001). Also, there was no correlation between the final VA and pre-treatment OCT and mfERG measurements. Conclusion: This study deals with cystoid macular oedema associated with recurrent uveitis. In cystoid macular oedema, the value of mfERG before treatment is related to the central foveal thickness and VA. In contrast, after treatment the decrease of macular thickness is not always followed by an improvement of mfERG and VA. This supports the view that in uveitic macular oedema, the decrease in macular thickness after treatment may not be used as a predictor of improvement of macular function. © 2011 The Authors. Clinical and Experimental Optometry © 2011 Optometrists Association Australia.","author":[{"dropping-particle":"","family":"Georgiadou","given":"Evi","non-dropping-particle":"","parse-names":false,"suffix":""},{"dropping-particle":"","family":"Moschos","given":"Marilita M.","non-dropping-particle":"","parse-names":false,"suffix":""},{"dropping-particle":"","family":"Margetis","given":"Ioannis","non-dropping-particle":"","parse-names":false,"suffix":""},{"dropping-particle":"","family":"Chalkiadakis","given":"John","non-dropping-particle":"","parse-names":false,"suffix":""},{"dropping-particle":"","family":"Markomichelakis","given":"Nikos N.","non-dropping-particle":"","parse-names":false,"suffix":""}],"container-title":"Clinical and Experimental Optometry","id":"ITEM-2","issued":{"date-parts":[["2012"]]},"title":"Structural and functional outcomes after treatment of uveitic macular oedema: An optical coherence tomography and multifocal electroretinogram study","type":"article-journal"},"uris":["http://www.mendeley.com/documents/?uuid=e3a0eb04-2066-4d45-a0ef-40d53ae82aa0"]}],"mendeley":{"formattedCitation":"[16, 17]","plainTextFormattedCitation":"[16, 17]","previouslyFormattedCitation":"[16, 17]"},"properties":{"noteIndex":0},"schema":"https://github.com/citation-style-language/schema/raw/master/csl-citation.json"}</w:instrText>
      </w:r>
      <w:r w:rsidRPr="008B2CC8">
        <w:rPr>
          <w:rFonts w:cs="Arial"/>
          <w:sz w:val="22"/>
          <w:szCs w:val="22"/>
          <w:lang w:val="en-US"/>
        </w:rPr>
        <w:fldChar w:fldCharType="separate"/>
      </w:r>
      <w:r w:rsidRPr="008B2CC8">
        <w:rPr>
          <w:rFonts w:cs="Arial"/>
          <w:noProof/>
          <w:sz w:val="22"/>
          <w:szCs w:val="22"/>
          <w:lang w:val="en-US"/>
        </w:rPr>
        <w:t>[16, 17]</w:t>
      </w:r>
      <w:r w:rsidRPr="008B2CC8">
        <w:rPr>
          <w:rFonts w:cs="Arial"/>
          <w:sz w:val="22"/>
          <w:szCs w:val="22"/>
          <w:lang w:val="en-US"/>
        </w:rPr>
        <w:fldChar w:fldCharType="end"/>
      </w:r>
    </w:p>
    <w:p w14:paraId="7B394FEA" w14:textId="77777777"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This study aimed to be the first in literature to evaluate the relationship between functional and structural measurements in patients with non-acute VKHD. The purposes of this study were (1) to assess retinal function using SAP and mfERG and establish the extent to which these two noninvasive measurements can detect functional loss, (2) to evaluate retinal structure using OCT and (3) to evaluate associations between functional (SAP and mfERG) and structural (OCT) measurements in patients with non-acute VKHD.</w:t>
      </w:r>
    </w:p>
    <w:p w14:paraId="60BBB081" w14:textId="77777777" w:rsidR="00A55B63" w:rsidRPr="008B2CC8" w:rsidRDefault="00A55B63" w:rsidP="00A55B63">
      <w:pPr>
        <w:spacing w:line="360" w:lineRule="auto"/>
        <w:contextualSpacing/>
        <w:jc w:val="both"/>
        <w:rPr>
          <w:rFonts w:cs="Arial"/>
          <w:b/>
          <w:bCs/>
          <w:sz w:val="22"/>
          <w:szCs w:val="22"/>
          <w:lang w:val="en-US"/>
        </w:rPr>
      </w:pPr>
    </w:p>
    <w:p w14:paraId="1B6F1F4E" w14:textId="77777777" w:rsidR="00A55B63" w:rsidRPr="008B2CC8" w:rsidRDefault="00A55B63" w:rsidP="00A55B63">
      <w:pPr>
        <w:spacing w:line="360" w:lineRule="auto"/>
        <w:contextualSpacing/>
        <w:jc w:val="both"/>
        <w:rPr>
          <w:rFonts w:cs="Arial"/>
          <w:b/>
          <w:bCs/>
          <w:sz w:val="22"/>
          <w:szCs w:val="22"/>
          <w:lang w:val="en-US"/>
        </w:rPr>
      </w:pPr>
      <w:r w:rsidRPr="008B2CC8">
        <w:rPr>
          <w:rFonts w:cs="Arial"/>
          <w:b/>
          <w:bCs/>
          <w:sz w:val="22"/>
          <w:szCs w:val="22"/>
          <w:lang w:val="en-US"/>
        </w:rPr>
        <w:t>MATERIALS AND METHODS</w:t>
      </w:r>
    </w:p>
    <w:p w14:paraId="1110B008" w14:textId="77777777" w:rsidR="00A55B63" w:rsidRPr="008B2CC8" w:rsidRDefault="00A55B63" w:rsidP="00A55B63">
      <w:pPr>
        <w:spacing w:line="360" w:lineRule="auto"/>
        <w:contextualSpacing/>
        <w:jc w:val="both"/>
        <w:rPr>
          <w:rFonts w:cs="Arial"/>
          <w:i/>
          <w:iCs/>
          <w:sz w:val="22"/>
          <w:szCs w:val="22"/>
          <w:lang w:val="en-US"/>
        </w:rPr>
      </w:pPr>
      <w:r w:rsidRPr="008B2CC8">
        <w:rPr>
          <w:rFonts w:cs="Arial"/>
          <w:i/>
          <w:iCs/>
          <w:sz w:val="22"/>
          <w:szCs w:val="22"/>
          <w:lang w:val="en-US"/>
        </w:rPr>
        <w:t>Study design and sample</w:t>
      </w:r>
    </w:p>
    <w:p w14:paraId="483DDB54" w14:textId="579F35BD" w:rsidR="00A55B63" w:rsidRPr="008B2CC8" w:rsidRDefault="00A55B63" w:rsidP="00A55B63">
      <w:pPr>
        <w:widowControl w:val="0"/>
        <w:autoSpaceDE w:val="0"/>
        <w:autoSpaceDN w:val="0"/>
        <w:adjustRightInd w:val="0"/>
        <w:spacing w:line="360" w:lineRule="auto"/>
        <w:ind w:firstLine="284"/>
        <w:contextualSpacing/>
        <w:rPr>
          <w:rFonts w:cs="Arial"/>
          <w:color w:val="000000"/>
          <w:sz w:val="22"/>
          <w:szCs w:val="22"/>
          <w:lang w:val="en-US"/>
        </w:rPr>
      </w:pPr>
      <w:r w:rsidRPr="008B2CC8">
        <w:rPr>
          <w:rFonts w:cs="Arial"/>
          <w:color w:val="000000"/>
          <w:sz w:val="22"/>
          <w:szCs w:val="22"/>
          <w:lang w:val="en-US"/>
        </w:rPr>
        <w:t>This cross-sectional study was conducted from July 1</w:t>
      </w:r>
      <w:r w:rsidR="00961BF5" w:rsidRPr="008B2CC8">
        <w:rPr>
          <w:rFonts w:cs="Arial"/>
          <w:color w:val="000000"/>
          <w:sz w:val="22"/>
          <w:szCs w:val="22"/>
          <w:lang w:val="en-US"/>
        </w:rPr>
        <w:t xml:space="preserve"> </w:t>
      </w:r>
      <w:r w:rsidRPr="008B2CC8">
        <w:rPr>
          <w:rFonts w:cs="Arial"/>
          <w:color w:val="000000"/>
          <w:sz w:val="22"/>
          <w:szCs w:val="22"/>
          <w:lang w:val="en-US"/>
        </w:rPr>
        <w:t xml:space="preserve">to December 31, 2017 with 18 patients with non-acute VKHD who were followed at </w:t>
      </w:r>
      <w:r w:rsidR="00BE4CF5" w:rsidRPr="008B2CC8">
        <w:rPr>
          <w:rFonts w:cs="Arial"/>
          <w:color w:val="000000"/>
          <w:sz w:val="22"/>
          <w:szCs w:val="22"/>
          <w:lang w:val="en-US"/>
        </w:rPr>
        <w:t xml:space="preserve">a tertiary center in </w:t>
      </w:r>
      <w:r w:rsidRPr="008B2CC8">
        <w:rPr>
          <w:rFonts w:cs="Arial"/>
          <w:color w:val="000000"/>
          <w:sz w:val="22"/>
          <w:szCs w:val="22"/>
          <w:lang w:val="en-US"/>
        </w:rPr>
        <w:t xml:space="preserve">São Paulo, Brazil. Inclusion criteria were: diagnosis of VKHD </w:t>
      </w:r>
      <w:r w:rsidRPr="008B2CC8">
        <w:rPr>
          <w:rFonts w:cs="Arial"/>
          <w:color w:val="000000"/>
          <w:sz w:val="22"/>
          <w:szCs w:val="22"/>
          <w:lang w:val="en-US"/>
        </w:rPr>
        <w:fldChar w:fldCharType="begin" w:fldLock="1"/>
      </w:r>
      <w:r w:rsidRPr="008B2CC8">
        <w:rPr>
          <w:rFonts w:cs="Arial"/>
          <w:color w:val="000000"/>
          <w:sz w:val="22"/>
          <w:szCs w:val="22"/>
          <w:lang w:val="en-US"/>
        </w:rPr>
        <w:instrText>ADDIN CSL_CITATION {"citationItems":[{"id":"ITEM-1","itemData":{"DOI":"10.1016/S0002-9394(01)00925-4","ISSN":"00029394","abstract":"PURPOSE: To present revised criteria for the diagnosis of Vogt-Koyanagi-Harada disease, a chronic, bilateral, granulomatous ocular and multisystem inflammatory condition of unknown cause. METHODS: Diagnostic criteria and nomenclature were subjects of discussion at the First International Workshop on Vogt-Koyanagi-Harada Disease on October 19-21, 1999, at the University of California, Los Angeles, Conference Center, Lake Arrowhead, California. A committee appointed by the workshop participants was charged with drafting revised criteria for Vogt-Koyanagi-Harada disease, based on discussions held during the conference. This article is the consensus committee report. RESULTS: New criteria, taking into account the multisystem nature of Vogt-Koyanagi-Harada disease, with allowance for the different ocular findings present in the early and late stages of the disease, were formulated and agreed upon by the committee. These criteria are based on additional knowledge and experience of experts in the field and are believed to reflect disease features more fully than previously published criteria. CONCLUSIONS: The revised definition of Vogt-Koyanagi-Harada disease, with expanded diagnostic criteria, will facilitate performance of studies involving homogeneous populations of patients, at various stages of disease, that address unanswered questions regarding treatment and disease mechanisms. Copyright © 2001 Elsevier Science Inc.","author":[{"dropping-particle":"","family":"Read","given":"Russell W.","non-dropping-particle":"","parse-names":false,"suffix":""},{"dropping-particle":"","family":"Holland","given":"Gary N.","non-dropping-particle":"","parse-names":false,"suffix":""},{"dropping-particle":"","family":"Rao","given":"Narsing A.","non-dropping-particle":"","parse-names":false,"suffix":""},{"dropping-particle":"","family":"Tabbara","given":"Khalid F.","non-dropping-particle":"","parse-names":false,"suffix":""},{"dropping-particle":"","family":"Ohno","given":"Shigeaki","non-dropping-particle":"","parse-names":false,"suffix":""},{"dropping-particle":"","family":"Arellanes-Garcia","given":"Lourdes","non-dropping-particle":"","parse-names":false,"suffix":""},{"dropping-particle":"","family":"Pivetti-Pezzi","given":"Paola","non-dropping-particle":"","parse-names":false,"suffix":""},{"dropping-particle":"","family":"Tessler","given":"Howard H.","non-dropping-particle":"","parse-names":false,"suffix":""},{"dropping-particle":"","family":"Usui","given":"Masahiko","non-dropping-particle":"","parse-names":false,"suffix":""}],"container-title":"American Journal of Ophthalmology","id":"ITEM-1","issued":{"date-parts":[["2001"]]},"title":"Revised diagnostic criteria for Vogt-Koyanagi-Harada disease: Report of an international committee on nomenclature","type":"article-journal"},"uris":["http://www.mendeley.com/documents/?uuid=dd0597b3-d516-4698-a466-0b92466d0e5f"]}],"mendeley":{"formattedCitation":"[18]","plainTextFormattedCitation":"[18]","previouslyFormattedCitation":"[18]"},"properties":{"noteIndex":0},"schema":"https://github.com/citation-style-language/schema/raw/master/csl-citation.json"}</w:instrText>
      </w:r>
      <w:r w:rsidRPr="008B2CC8">
        <w:rPr>
          <w:rFonts w:cs="Arial"/>
          <w:color w:val="000000"/>
          <w:sz w:val="22"/>
          <w:szCs w:val="22"/>
          <w:lang w:val="en-US"/>
        </w:rPr>
        <w:fldChar w:fldCharType="separate"/>
      </w:r>
      <w:r w:rsidRPr="008B2CC8">
        <w:rPr>
          <w:rFonts w:cs="Arial"/>
          <w:noProof/>
          <w:color w:val="000000"/>
          <w:sz w:val="22"/>
          <w:szCs w:val="22"/>
          <w:lang w:val="en-US"/>
        </w:rPr>
        <w:t>[18]</w:t>
      </w:r>
      <w:r w:rsidRPr="008B2CC8">
        <w:rPr>
          <w:rFonts w:cs="Arial"/>
          <w:color w:val="000000"/>
          <w:sz w:val="22"/>
          <w:szCs w:val="22"/>
          <w:lang w:val="en-US"/>
        </w:rPr>
        <w:fldChar w:fldCharType="end"/>
      </w:r>
      <w:r w:rsidRPr="008B2CC8">
        <w:rPr>
          <w:rFonts w:cs="Arial"/>
          <w:color w:val="000000"/>
          <w:sz w:val="22"/>
          <w:szCs w:val="22"/>
          <w:lang w:val="en-US"/>
        </w:rPr>
        <w:t xml:space="preserve">; participants of an ongoing prospective study in which </w:t>
      </w:r>
      <w:r w:rsidRPr="008B2CC8">
        <w:rPr>
          <w:rFonts w:cs="Arial"/>
          <w:color w:val="000000"/>
          <w:sz w:val="22"/>
          <w:szCs w:val="22"/>
          <w:lang w:val="en-US"/>
        </w:rPr>
        <w:lastRenderedPageBreak/>
        <w:t xml:space="preserve">all patients had been followed from acute onset and were systematically followed up and treated as described below; a minimum 12-month follow-up from acute onset; and, non-acute disease, defined as disease duration ≥ 12 months from disease onset. All patients were initially treated with three-day intravenous methylprednisolone (1g) followed by oral prednisone (1mg/kg/d) with </w:t>
      </w:r>
      <w:r w:rsidRPr="008B2CC8">
        <w:rPr>
          <w:rFonts w:cs="Arial"/>
          <w:color w:val="000000" w:themeColor="text1"/>
          <w:sz w:val="22"/>
          <w:szCs w:val="22"/>
          <w:lang w:val="en-US"/>
        </w:rPr>
        <w:t>slow tapering. Four patients</w:t>
      </w:r>
      <w:r w:rsidRPr="008B2CC8">
        <w:rPr>
          <w:rFonts w:cs="Arial"/>
          <w:color w:val="000000"/>
          <w:sz w:val="22"/>
          <w:szCs w:val="22"/>
          <w:lang w:val="en-US"/>
        </w:rPr>
        <w:t xml:space="preserve"> were maintained with oral prednisone, while 14 patients had associated systemic </w:t>
      </w:r>
      <w:r w:rsidRPr="008B2CC8">
        <w:rPr>
          <w:rFonts w:cs="Arial"/>
          <w:color w:val="000000" w:themeColor="text1"/>
          <w:sz w:val="22"/>
          <w:szCs w:val="22"/>
          <w:lang w:val="en-US"/>
        </w:rPr>
        <w:t>IMT.</w:t>
      </w:r>
    </w:p>
    <w:p w14:paraId="0813F6BE" w14:textId="77777777" w:rsidR="00A55B63" w:rsidRPr="008B2CC8" w:rsidRDefault="00A55B63" w:rsidP="00A55B63">
      <w:pPr>
        <w:spacing w:line="360" w:lineRule="auto"/>
        <w:ind w:firstLine="284"/>
        <w:contextualSpacing/>
        <w:rPr>
          <w:rFonts w:cs="Arial"/>
          <w:color w:val="000000"/>
          <w:sz w:val="22"/>
          <w:szCs w:val="22"/>
          <w:lang w:val="en-US"/>
        </w:rPr>
      </w:pPr>
      <w:r w:rsidRPr="008B2CC8">
        <w:rPr>
          <w:rFonts w:cs="Arial"/>
          <w:color w:val="000000"/>
          <w:sz w:val="22"/>
          <w:szCs w:val="22"/>
          <w:lang w:val="en-US"/>
        </w:rPr>
        <w:t xml:space="preserve">Patients underwent a socio-demographic interview and ophthalmologic evaluation. Clinical data were obtained from the current ophthalmological evaluation, as well as from medical records. All patients had systematic evaluations with clinical, posterior segment imaging exams (fundus color photography, </w:t>
      </w:r>
      <w:r w:rsidRPr="008B2CC8">
        <w:rPr>
          <w:rFonts w:cs="Arial"/>
          <w:color w:val="000000" w:themeColor="text1"/>
          <w:sz w:val="22"/>
          <w:szCs w:val="22"/>
          <w:lang w:val="en-US"/>
        </w:rPr>
        <w:t xml:space="preserve">indocyanine green angiography, fluorescein angiography and enhanced depth imaging-OCT) performed at diagnosis, at one, three, and </w:t>
      </w:r>
      <w:r w:rsidRPr="008B2CC8">
        <w:rPr>
          <w:rFonts w:cs="Arial"/>
          <w:color w:val="000000"/>
          <w:sz w:val="22"/>
          <w:szCs w:val="22"/>
          <w:lang w:val="en-US"/>
        </w:rPr>
        <w:t>six months and t</w:t>
      </w:r>
      <w:r w:rsidRPr="008B2CC8">
        <w:rPr>
          <w:rFonts w:cs="Arial"/>
          <w:color w:val="000000" w:themeColor="text1"/>
          <w:sz w:val="22"/>
          <w:szCs w:val="22"/>
          <w:lang w:val="en-US"/>
        </w:rPr>
        <w:t xml:space="preserve">hereafter every three months. Patients also had full-field electroretinogram (ffERG) and mfERG exams </w:t>
      </w:r>
      <w:r w:rsidRPr="008B2CC8">
        <w:rPr>
          <w:rFonts w:cs="Arial"/>
          <w:color w:val="000000"/>
          <w:sz w:val="22"/>
          <w:szCs w:val="22"/>
          <w:lang w:val="en-US"/>
        </w:rPr>
        <w:t>at diagnosis</w:t>
      </w:r>
      <w:r w:rsidRPr="008B2CC8">
        <w:rPr>
          <w:rFonts w:cs="Arial"/>
          <w:color w:val="FF0000"/>
          <w:sz w:val="22"/>
          <w:szCs w:val="22"/>
          <w:lang w:val="en-US"/>
        </w:rPr>
        <w:t>,</w:t>
      </w:r>
      <w:r w:rsidRPr="008B2CC8">
        <w:rPr>
          <w:rFonts w:cs="Arial"/>
          <w:color w:val="000000"/>
          <w:sz w:val="22"/>
          <w:szCs w:val="22"/>
          <w:lang w:val="en-US"/>
        </w:rPr>
        <w:t xml:space="preserve"> at 30 days and at six-month intervals thereafter. A database was created for clinical record-keeping purposes. </w:t>
      </w:r>
    </w:p>
    <w:p w14:paraId="00ED869B" w14:textId="77777777" w:rsidR="00A55B63" w:rsidRPr="008B2CC8" w:rsidRDefault="00A55B63" w:rsidP="00A55B63">
      <w:pPr>
        <w:spacing w:line="360" w:lineRule="auto"/>
        <w:ind w:firstLine="284"/>
        <w:contextualSpacing/>
        <w:rPr>
          <w:rFonts w:cs="Arial"/>
          <w:color w:val="000000"/>
          <w:sz w:val="22"/>
          <w:szCs w:val="22"/>
          <w:lang w:val="en-US"/>
        </w:rPr>
      </w:pPr>
      <w:r w:rsidRPr="008B2CC8">
        <w:rPr>
          <w:rFonts w:cs="Arial"/>
          <w:color w:val="000000" w:themeColor="text1"/>
          <w:sz w:val="22"/>
          <w:szCs w:val="22"/>
          <w:lang w:val="en-US"/>
        </w:rPr>
        <w:t xml:space="preserve">Eighteen healthy age-matched subjects were enrolled as controls for SAP and mfERG measurements; control individuals were negative for any ocular disorders and for any systemic illness. Normal SAP </w:t>
      </w:r>
      <w:r w:rsidRPr="008B2CC8">
        <w:rPr>
          <w:rFonts w:cs="Arial"/>
          <w:color w:val="000000"/>
          <w:sz w:val="22"/>
          <w:szCs w:val="22"/>
          <w:lang w:val="en-US"/>
        </w:rPr>
        <w:t xml:space="preserve">was defined as a pattern standard deviation (PSD) within the 95% confidence limits, </w:t>
      </w:r>
      <w:r w:rsidRPr="008B2CC8">
        <w:rPr>
          <w:rFonts w:cs="Arial"/>
          <w:sz w:val="22"/>
          <w:szCs w:val="22"/>
          <w:lang w:val="en-US"/>
        </w:rPr>
        <w:t xml:space="preserve">absence of any cluster of at least </w:t>
      </w:r>
      <w:r w:rsidRPr="008B2CC8">
        <w:rPr>
          <w:rFonts w:cs="Arial"/>
          <w:color w:val="000000" w:themeColor="text1"/>
          <w:sz w:val="22"/>
          <w:szCs w:val="22"/>
          <w:lang w:val="en-US"/>
        </w:rPr>
        <w:t xml:space="preserve">3 test points with </w:t>
      </w:r>
      <w:r w:rsidRPr="008B2CC8">
        <w:rPr>
          <w:rFonts w:cs="Arial"/>
          <w:sz w:val="22"/>
          <w:szCs w:val="22"/>
          <w:lang w:val="en-US"/>
        </w:rPr>
        <w:t>p&lt;5% on the pattern deviation plot</w:t>
      </w:r>
      <w:r w:rsidRPr="008B2CC8">
        <w:rPr>
          <w:rFonts w:cs="Arial"/>
          <w:color w:val="000000"/>
          <w:sz w:val="22"/>
          <w:szCs w:val="22"/>
          <w:lang w:val="en-US"/>
        </w:rPr>
        <w:t xml:space="preserve"> and a Glaucoma Hemifield Test (GHT) </w:t>
      </w:r>
      <w:r w:rsidRPr="008B2CC8">
        <w:rPr>
          <w:rFonts w:cs="Arial"/>
          <w:color w:val="000000" w:themeColor="text1"/>
          <w:sz w:val="22"/>
          <w:szCs w:val="22"/>
          <w:lang w:val="en-US"/>
        </w:rPr>
        <w:t xml:space="preserve">result within normal limits. </w:t>
      </w:r>
    </w:p>
    <w:p w14:paraId="3351A8E6" w14:textId="77777777" w:rsidR="00A55B63" w:rsidRPr="008B2CC8" w:rsidRDefault="00A55B63" w:rsidP="00A55B63">
      <w:pPr>
        <w:spacing w:line="360" w:lineRule="auto"/>
        <w:ind w:firstLine="284"/>
        <w:contextualSpacing/>
        <w:rPr>
          <w:rFonts w:cs="Arial"/>
          <w:color w:val="000000"/>
          <w:sz w:val="22"/>
          <w:szCs w:val="22"/>
          <w:lang w:val="en-US"/>
        </w:rPr>
      </w:pPr>
      <w:r w:rsidRPr="008B2CC8">
        <w:rPr>
          <w:rFonts w:cs="Arial"/>
          <w:color w:val="000000"/>
          <w:sz w:val="22"/>
          <w:szCs w:val="22"/>
          <w:lang w:val="en-US"/>
        </w:rPr>
        <w:t>This study was approved by the Institutional Ethics Committee (</w:t>
      </w:r>
      <w:r w:rsidRPr="008B2CC8">
        <w:rPr>
          <w:rFonts w:cs="Arial"/>
          <w:sz w:val="22"/>
          <w:szCs w:val="22"/>
          <w:lang w:val="en-US"/>
        </w:rPr>
        <w:t>CapPesq 2.289.034/17).</w:t>
      </w:r>
      <w:r w:rsidRPr="008B2CC8">
        <w:rPr>
          <w:rFonts w:cs="Arial"/>
          <w:color w:val="000000"/>
          <w:sz w:val="22"/>
          <w:szCs w:val="22"/>
          <w:lang w:val="en-US"/>
        </w:rPr>
        <w:t xml:space="preserve"> Written informed consent was obtained from all participants and normal controls; all study methods adhered to the tenets of the Declaration of Helsinki. </w:t>
      </w:r>
    </w:p>
    <w:p w14:paraId="5EC9490F" w14:textId="77777777" w:rsidR="00A55B63" w:rsidRPr="008B2CC8" w:rsidRDefault="00A55B63" w:rsidP="00A55B63">
      <w:pPr>
        <w:spacing w:line="360" w:lineRule="auto"/>
        <w:jc w:val="both"/>
        <w:rPr>
          <w:rFonts w:cs="Arial"/>
          <w:i/>
          <w:iCs/>
          <w:sz w:val="22"/>
          <w:szCs w:val="22"/>
          <w:lang w:val="en-US"/>
        </w:rPr>
      </w:pPr>
    </w:p>
    <w:p w14:paraId="6B04B10E" w14:textId="77777777" w:rsidR="00A55B63" w:rsidRPr="008B2CC8" w:rsidRDefault="00A55B63" w:rsidP="00A55B63">
      <w:pPr>
        <w:spacing w:line="360" w:lineRule="auto"/>
        <w:jc w:val="both"/>
        <w:rPr>
          <w:rFonts w:cs="Arial"/>
          <w:i/>
          <w:iCs/>
          <w:sz w:val="22"/>
          <w:szCs w:val="22"/>
          <w:lang w:val="en-US"/>
        </w:rPr>
      </w:pPr>
      <w:r w:rsidRPr="008B2CC8">
        <w:rPr>
          <w:rFonts w:cs="Arial"/>
          <w:i/>
          <w:iCs/>
          <w:sz w:val="22"/>
          <w:szCs w:val="22"/>
          <w:lang w:val="en-US"/>
        </w:rPr>
        <w:t>ERG measurements</w:t>
      </w:r>
    </w:p>
    <w:p w14:paraId="2E095E1F" w14:textId="77777777" w:rsidR="00A55B63" w:rsidRPr="008B2CC8" w:rsidRDefault="00A55B63" w:rsidP="00A55B63">
      <w:pPr>
        <w:pStyle w:val="Normal1"/>
        <w:spacing w:line="360" w:lineRule="auto"/>
        <w:ind w:firstLine="284"/>
        <w:contextualSpacing/>
        <w:rPr>
          <w:rFonts w:ascii="Times New Roman" w:eastAsia="Times New Roman" w:hAnsi="Times New Roman" w:cs="Arial"/>
          <w:color w:val="000000" w:themeColor="text1"/>
        </w:rPr>
      </w:pPr>
      <w:r w:rsidRPr="008B2CC8">
        <w:rPr>
          <w:rFonts w:ascii="Times New Roman" w:eastAsia="Times New Roman" w:hAnsi="Times New Roman" w:cs="Arial"/>
          <w:color w:val="000000" w:themeColor="text1"/>
        </w:rPr>
        <w:t xml:space="preserve">mfERG </w:t>
      </w:r>
      <w:r w:rsidRPr="008B2CC8">
        <w:rPr>
          <w:rFonts w:ascii="Times New Roman" w:eastAsia="Times New Roman" w:hAnsi="Times New Roman" w:cs="Arial"/>
        </w:rPr>
        <w:t>was recorded using the RETiscan System (Roland Consult</w:t>
      </w:r>
      <w:r w:rsidRPr="008B2CC8">
        <w:rPr>
          <w:rFonts w:ascii="Times New Roman" w:eastAsia="Times New Roman" w:hAnsi="Times New Roman" w:cs="Arial"/>
          <w:color w:val="000000"/>
        </w:rPr>
        <w:t>®</w:t>
      </w:r>
      <w:r w:rsidRPr="008B2CC8">
        <w:rPr>
          <w:rFonts w:ascii="Times New Roman" w:eastAsia="Times New Roman" w:hAnsi="Times New Roman" w:cs="Arial"/>
        </w:rPr>
        <w:t>, Germany) following the International Society for Clinical Electrophysiology of Vision (ISCEV) guidelines.</w:t>
      </w:r>
      <w:r w:rsidRPr="008B2CC8">
        <w:rPr>
          <w:rFonts w:ascii="Times New Roman" w:eastAsia="Times New Roman" w:hAnsi="Times New Roman" w:cs="Arial"/>
        </w:rPr>
        <w:fldChar w:fldCharType="begin" w:fldLock="1"/>
      </w:r>
      <w:r w:rsidRPr="008B2CC8">
        <w:rPr>
          <w:rFonts w:ascii="Times New Roman" w:eastAsia="Times New Roman" w:hAnsi="Times New Roman" w:cs="Arial"/>
        </w:rPr>
        <w:instrText>ADDIN CSL_CITATION {"citationItems":[{"id":"ITEM-1","itemData":{"DOI":"10.1007/s10633-011-9296-8","ISSN":"00124486","abstract":"The clinical multifocal electroretinogram (mfERG) is an electrophysiological test of local retinal function. With this technique, many local ERG responses are recorded quasi-simultaneously from the cone-driven retina under light-adapted conditions. This document, from the International Society for Clinical Electrophysiology of Vision (ISCEV: www.iscev.org), replaces the ISCEV guidelines for the mfERG published in 2007. Standards for performance of the basic clinical mfERG test with a stimulus array of 61 or 103 hexagons, as well as for reporting the results, are specified. © Springer-Verlag 2012.","author":[{"dropping-particle":"","family":"Hood","given":"Donald C.","non-dropping-particle":"","parse-names":false,"suffix":""},{"dropping-particle":"","family":"Bach","given":"Michael","non-dropping-particle":"","parse-names":false,"suffix":""},{"dropping-particle":"","family":"Brigell","given":"Mitchell","non-dropping-particle":"","parse-names":false,"suffix":""},{"dropping-particle":"","family":"Keating","given":"David","non-dropping-particle":"","parse-names":false,"suffix":""},{"dropping-particle":"","family":"Kondo","given":"Mineo","non-dropping-particle":"","parse-names":false,"suffix":""},{"dropping-particle":"","family":"Lyons","given":"Jonathan S.","non-dropping-particle":"","parse-names":false,"suffix":""},{"dropping-particle":"","family":"Marmor","given":"Michael F.","non-dropping-particle":"","parse-names":false,"suffix":""},{"dropping-particle":"","family":"McCulloch","given":"Daphne L.","non-dropping-particle":"","parse-names":false,"suffix":""},{"dropping-particle":"","family":"Palmowski-Wolfe","given":"Anja M.","non-dropping-particle":"","parse-names":false,"suffix":""}],"container-title":"Documenta Ophthalmologica","id":"ITEM-1","issued":{"date-parts":[["2012"]]},"title":"ISCEV standard for clinical multifocal electroretinography (mfERG) (2011 edition)","type":"article-journal"},"uris":["http://www.mendeley.com/documents/?uuid=2f88356c-0bb7-47f8-b47a-61299633238a"]}],"mendeley":{"formattedCitation":"[19]","plainTextFormattedCitation":"[19]","previouslyFormattedCitation":"[19]"},"properties":{"noteIndex":0},"schema":"https://github.com/citation-style-language/schema/raw/master/csl-citation.json"}</w:instrText>
      </w:r>
      <w:r w:rsidRPr="008B2CC8">
        <w:rPr>
          <w:rFonts w:ascii="Times New Roman" w:eastAsia="Times New Roman" w:hAnsi="Times New Roman" w:cs="Arial"/>
        </w:rPr>
        <w:fldChar w:fldCharType="separate"/>
      </w:r>
      <w:r w:rsidRPr="008B2CC8">
        <w:rPr>
          <w:rFonts w:ascii="Times New Roman" w:eastAsia="Times New Roman" w:hAnsi="Times New Roman" w:cs="Arial"/>
          <w:noProof/>
        </w:rPr>
        <w:t>[19]</w:t>
      </w:r>
      <w:r w:rsidRPr="008B2CC8">
        <w:rPr>
          <w:rFonts w:ascii="Times New Roman" w:eastAsia="Times New Roman" w:hAnsi="Times New Roman" w:cs="Arial"/>
        </w:rPr>
        <w:fldChar w:fldCharType="end"/>
      </w:r>
      <w:r w:rsidRPr="008B2CC8">
        <w:rPr>
          <w:rFonts w:ascii="Times New Roman" w:eastAsia="Times New Roman" w:hAnsi="Times New Roman" w:cs="Arial"/>
        </w:rPr>
        <w:t xml:space="preserve"> The tests were performed monocularly, after anesthetizing the cornea with one drop of proxymetacaine 0.5%, using ERG-Jet contact lens electrodes (Fabrinal SA, La Chaux de Fonds, Switzerland). Gold-cup reference and surface electrodes were placed on the subject’s forehead and temple, respectively. </w:t>
      </w:r>
      <w:r w:rsidRPr="008B2CC8">
        <w:rPr>
          <w:rFonts w:ascii="Times New Roman" w:eastAsia="Times New Roman" w:hAnsi="Times New Roman" w:cs="Arial"/>
          <w:color w:val="000000" w:themeColor="text1"/>
        </w:rPr>
        <w:t xml:space="preserve">The pupils were previously dilated with 1% tropicamide, and the subject was light adapted for 10 minutes before </w:t>
      </w:r>
      <w:r w:rsidRPr="008B2CC8">
        <w:rPr>
          <w:rFonts w:ascii="Times New Roman" w:eastAsia="Times New Roman" w:hAnsi="Times New Roman" w:cs="Arial"/>
        </w:rPr>
        <w:t xml:space="preserve">the examination. The fixation target was clearly visible by all patients. The stimulus array consisted of 61 hexagons scaled with a 4.0 distortion and eccentricity factor randomly displayed on a cathodic ray tube monitor at a distance of 26 cm and directed at the central 30° of the </w:t>
      </w:r>
      <w:proofErr w:type="gramStart"/>
      <w:r w:rsidRPr="008B2CC8">
        <w:rPr>
          <w:rFonts w:ascii="Times New Roman" w:eastAsia="Times New Roman" w:hAnsi="Times New Roman" w:cs="Arial"/>
        </w:rPr>
        <w:t>retina</w:t>
      </w:r>
      <w:proofErr w:type="gramEnd"/>
      <w:r w:rsidRPr="008B2CC8">
        <w:rPr>
          <w:rFonts w:ascii="Times New Roman" w:eastAsia="Times New Roman" w:hAnsi="Times New Roman" w:cs="Arial"/>
        </w:rPr>
        <w:t>. The luminance of the stimuli was modulated between black (0 cd/m</w:t>
      </w:r>
      <w:r w:rsidRPr="008B2CC8">
        <w:rPr>
          <w:rFonts w:ascii="Times New Roman" w:eastAsia="Times New Roman" w:hAnsi="Times New Roman" w:cs="Arial"/>
          <w:vertAlign w:val="superscript"/>
        </w:rPr>
        <w:t>2</w:t>
      </w:r>
      <w:r w:rsidRPr="008B2CC8">
        <w:rPr>
          <w:rFonts w:ascii="Times New Roman" w:eastAsia="Times New Roman" w:hAnsi="Times New Roman" w:cs="Arial"/>
        </w:rPr>
        <w:t>) and white (200 cd/m</w:t>
      </w:r>
      <w:r w:rsidRPr="008B2CC8">
        <w:rPr>
          <w:rFonts w:ascii="Times New Roman" w:eastAsia="Times New Roman" w:hAnsi="Times New Roman" w:cs="Arial"/>
          <w:vertAlign w:val="superscript"/>
        </w:rPr>
        <w:t>2</w:t>
      </w:r>
      <w:r w:rsidRPr="008B2CC8">
        <w:rPr>
          <w:rFonts w:ascii="Times New Roman" w:eastAsia="Times New Roman" w:hAnsi="Times New Roman" w:cs="Arial"/>
        </w:rPr>
        <w:t xml:space="preserve">), according to a modified pseudorandom m-sequence. The recordings were amplified and automatically bandpass filtered (filter range 10–100 Hz). The subjects were asked to fix their gaze on the red cross at the center of the stimulus </w:t>
      </w:r>
      <w:r w:rsidRPr="008B2CC8">
        <w:rPr>
          <w:rFonts w:ascii="Times New Roman" w:eastAsia="Times New Roman" w:hAnsi="Times New Roman" w:cs="Arial"/>
        </w:rPr>
        <w:lastRenderedPageBreak/>
        <w:t>screen. Recordings with artifacts from head movements, blinking or contact lens uncoupling were discarded and repeated. The responses were measured using scaled density regional averages in nV/deg</w:t>
      </w:r>
      <w:r w:rsidRPr="008B2CC8">
        <w:rPr>
          <w:rFonts w:ascii="Times New Roman" w:eastAsia="Times New Roman" w:hAnsi="Times New Roman" w:cs="Arial"/>
          <w:vertAlign w:val="superscript"/>
        </w:rPr>
        <w:t>2</w:t>
      </w:r>
      <w:r w:rsidRPr="008B2CC8">
        <w:rPr>
          <w:rFonts w:ascii="Times New Roman" w:eastAsia="Times New Roman" w:hAnsi="Times New Roman" w:cs="Arial"/>
        </w:rPr>
        <w:t xml:space="preserve"> to reflect the correct angular size for each hexagon stimulating the retina. The values of the ring 5 were excluded in order to have a more accurate spatial correlation between test points of SAP, mfERG and OCT measurements. The mfERG N1 and P1 amplitudes and P1 and N1 peak times were measured according to ISCEV </w:t>
      </w:r>
      <w:r w:rsidRPr="008B2CC8">
        <w:rPr>
          <w:rFonts w:ascii="Times New Roman" w:eastAsia="Times New Roman" w:hAnsi="Times New Roman" w:cs="Arial"/>
          <w:color w:val="000000" w:themeColor="text1"/>
        </w:rPr>
        <w:t xml:space="preserve">guidelines. </w:t>
      </w:r>
      <w:r w:rsidRPr="008B2CC8">
        <w:rPr>
          <w:rFonts w:ascii="Times New Roman" w:eastAsia="Times New Roman" w:hAnsi="Times New Roman" w:cs="Arial"/>
          <w:color w:val="000000" w:themeColor="text1"/>
        </w:rPr>
        <w:fldChar w:fldCharType="begin" w:fldLock="1"/>
      </w:r>
      <w:r w:rsidRPr="008B2CC8">
        <w:rPr>
          <w:rFonts w:ascii="Times New Roman" w:eastAsia="Times New Roman" w:hAnsi="Times New Roman" w:cs="Arial"/>
          <w:color w:val="000000" w:themeColor="text1"/>
        </w:rPr>
        <w:instrText>ADDIN CSL_CITATION {"citationItems":[{"id":"ITEM-1","itemData":{"DOI":"10.1007/s10633-011-9296-8","ISSN":"00124486","abstract":"The clinical multifocal electroretinogram (mfERG) is an electrophysiological test of local retinal function. With this technique, many local ERG responses are recorded quasi-simultaneously from the cone-driven retina under light-adapted conditions. This document, from the International Society for Clinical Electrophysiology of Vision (ISCEV: www.iscev.org), replaces the ISCEV guidelines for the mfERG published in 2007. Standards for performance of the basic clinical mfERG test with a stimulus array of 61 or 103 hexagons, as well as for reporting the results, are specified. © Springer-Verlag 2012.","author":[{"dropping-particle":"","family":"Hood","given":"Donald C.","non-dropping-particle":"","parse-names":false,"suffix":""},{"dropping-particle":"","family":"Bach","given":"Michael","non-dropping-particle":"","parse-names":false,"suffix":""},{"dropping-particle":"","family":"Brigell","given":"Mitchell","non-dropping-particle":"","parse-names":false,"suffix":""},{"dropping-particle":"","family":"Keating","given":"David","non-dropping-particle":"","parse-names":false,"suffix":""},{"dropping-particle":"","family":"Kondo","given":"Mineo","non-dropping-particle":"","parse-names":false,"suffix":""},{"dropping-particle":"","family":"Lyons","given":"Jonathan S.","non-dropping-particle":"","parse-names":false,"suffix":""},{"dropping-particle":"","family":"Marmor","given":"Michael F.","non-dropping-particle":"","parse-names":false,"suffix":""},{"dropping-particle":"","family":"McCulloch","given":"Daphne L.","non-dropping-particle":"","parse-names":false,"suffix":""},{"dropping-particle":"","family":"Palmowski-Wolfe","given":"Anja M.","non-dropping-particle":"","parse-names":false,"suffix":""}],"container-title":"Documenta Ophthalmologica","id":"ITEM-1","issued":{"date-parts":[["2012"]]},"title":"ISCEV standard for clinical multifocal electroretinography (mfERG) (2011 edition)","type":"article-journal"},"uris":["http://www.mendeley.com/documents/?uuid=2f88356c-0bb7-47f8-b47a-61299633238a"]}],"mendeley":{"formattedCitation":"[19]","plainTextFormattedCitation":"[19]","previouslyFormattedCitation":"[19]"},"properties":{"noteIndex":0},"schema":"https://github.com/citation-style-language/schema/raw/master/csl-citation.json"}</w:instrText>
      </w:r>
      <w:r w:rsidRPr="008B2CC8">
        <w:rPr>
          <w:rFonts w:ascii="Times New Roman" w:eastAsia="Times New Roman" w:hAnsi="Times New Roman" w:cs="Arial"/>
          <w:color w:val="000000" w:themeColor="text1"/>
        </w:rPr>
        <w:fldChar w:fldCharType="separate"/>
      </w:r>
      <w:r w:rsidRPr="008B2CC8">
        <w:rPr>
          <w:rFonts w:ascii="Times New Roman" w:eastAsia="Times New Roman" w:hAnsi="Times New Roman" w:cs="Arial"/>
          <w:noProof/>
          <w:color w:val="000000" w:themeColor="text1"/>
        </w:rPr>
        <w:t>[19]</w:t>
      </w:r>
      <w:r w:rsidRPr="008B2CC8">
        <w:rPr>
          <w:rFonts w:ascii="Times New Roman" w:eastAsia="Times New Roman" w:hAnsi="Times New Roman" w:cs="Arial"/>
          <w:color w:val="000000" w:themeColor="text1"/>
        </w:rPr>
        <w:fldChar w:fldCharType="end"/>
      </w:r>
    </w:p>
    <w:p w14:paraId="386CA4CD" w14:textId="2CB203B4" w:rsidR="00A55B63" w:rsidRPr="008B2CC8" w:rsidRDefault="00A55B63" w:rsidP="00A55B63">
      <w:pPr>
        <w:pStyle w:val="Normal1"/>
        <w:spacing w:line="360" w:lineRule="auto"/>
        <w:ind w:firstLine="284"/>
        <w:contextualSpacing/>
        <w:rPr>
          <w:rFonts w:ascii="Times New Roman" w:eastAsia="Times New Roman" w:hAnsi="Times New Roman" w:cs="Arial"/>
          <w:strike/>
          <w:color w:val="44546A" w:themeColor="text2"/>
        </w:rPr>
      </w:pPr>
      <w:r w:rsidRPr="008B2CC8">
        <w:rPr>
          <w:rFonts w:ascii="Times New Roman" w:eastAsia="Times New Roman" w:hAnsi="Times New Roman" w:cs="Arial"/>
          <w:color w:val="000000" w:themeColor="text1"/>
        </w:rPr>
        <w:t xml:space="preserve">ffERG was performed using the RETI-port system (Roland Consult®, Germany). Exam recordings were done in accordance </w:t>
      </w:r>
      <w:r w:rsidRPr="008B2CC8">
        <w:rPr>
          <w:rFonts w:ascii="Times New Roman" w:eastAsia="Times New Roman" w:hAnsi="Times New Roman" w:cs="Arial"/>
          <w:color w:val="000000"/>
        </w:rPr>
        <w:t xml:space="preserve">with the International Society for Clinical Electrophysiology of Vision guidelines using ERG-jet electrodes (Universe SA, La Chaux-de-Fonds, Switzerland). </w:t>
      </w:r>
      <w:r w:rsidRPr="008B2CC8">
        <w:rPr>
          <w:rFonts w:ascii="Times New Roman" w:eastAsia="Times New Roman" w:hAnsi="Times New Roman" w:cs="Arial"/>
          <w:color w:val="000000"/>
        </w:rPr>
        <w:fldChar w:fldCharType="begin" w:fldLock="1"/>
      </w:r>
      <w:r w:rsidRPr="008B2CC8">
        <w:rPr>
          <w:rFonts w:ascii="Times New Roman" w:eastAsia="Times New Roman" w:hAnsi="Times New Roman" w:cs="Arial"/>
          <w:color w:val="000000"/>
        </w:rPr>
        <w:instrText>ADDIN CSL_CITATION {"citationItems":[{"id":"ITEM-1","itemData":{"DOI":"10.1007/s10633-014-9473-7","ISSN":"15732622","abstract":"This document, from the International Society for Clinical Electrophysiology of Vision (ISCEV), presents an updated and revised ISCEV Standard for full-field clinical electroretinography (ffERG or simply ERG). The parameters for Standard flash stimuli have been revised to accommodate a variety of light sources including gas discharge lamps and light emitting diodes. This ISCEV Standard for clinical ERGs specifies six responses based on the adaptation state of the eye and the flash strength: (1) Dark-adapted 0.01 ERG (rod ERG); (2) Dark-adapted 3 ERG (combined rod-cone standard flash ERG); (3) Dark-adapted 3 oscillatory potentials; (4) Dark-adapted 10 ERG (strong flash ERG); (5) Light-adapted 3 ERG (standard flash “cone” ERG); and (6) Light-adapted 30 Hz flicker ERG. ISCEV encourages the use of additional ERG protocols for testing beyond this minimum standard for clinical ERGs.","author":[{"dropping-particle":"","family":"McCulloch","given":"Daphne L.","non-dropping-particle":"","parse-names":false,"suffix":""},{"dropping-particle":"","family":"Marmor","given":"Michael F.","non-dropping-particle":"","parse-names":false,"suffix":""},{"dropping-particle":"","family":"Brigell","given":"Mitchell G.","non-dropping-particle":"","parse-names":false,"suffix":""},{"dropping-particle":"","family":"Hamilton","given":"Ruth","non-dropping-particle":"","parse-names":false,"suffix":""},{"dropping-particle":"","family":"Holder","given":"Graham E.","non-dropping-particle":"","parse-names":false,"suffix":""},{"dropping-particle":"","family":"Tzekov","given":"Radouil","non-dropping-particle":"","parse-names":false,"suffix":""},{"dropping-particle":"","family":"Bach","given":"Michael","non-dropping-particle":"","parse-names":false,"suffix":""}],"container-title":"Documenta Ophthalmologica","id":"ITEM-1","issued":{"date-parts":[["2015"]]},"title":"ISCEV Standard for full-field clinical electroretinography (2015 update)","type":"article-journal"},"uris":["http://www.mendeley.com/documents/?uuid=19dac59d-e610-477a-8591-30f9de466a69"]}],"mendeley":{"formattedCitation":"[20]","plainTextFormattedCitation":"[20]","previouslyFormattedCitation":"[20]"},"properties":{"noteIndex":0},"schema":"https://github.com/citation-style-language/schema/raw/master/csl-citation.json"}</w:instrText>
      </w:r>
      <w:r w:rsidRPr="008B2CC8">
        <w:rPr>
          <w:rFonts w:ascii="Times New Roman" w:eastAsia="Times New Roman" w:hAnsi="Times New Roman" w:cs="Arial"/>
          <w:color w:val="000000"/>
        </w:rPr>
        <w:fldChar w:fldCharType="separate"/>
      </w:r>
      <w:r w:rsidRPr="008B2CC8">
        <w:rPr>
          <w:rFonts w:ascii="Times New Roman" w:eastAsia="Times New Roman" w:hAnsi="Times New Roman" w:cs="Arial"/>
          <w:noProof/>
          <w:color w:val="000000"/>
        </w:rPr>
        <w:t>[20]</w:t>
      </w:r>
      <w:r w:rsidRPr="008B2CC8">
        <w:rPr>
          <w:rFonts w:ascii="Times New Roman" w:eastAsia="Times New Roman" w:hAnsi="Times New Roman" w:cs="Arial"/>
          <w:color w:val="000000"/>
        </w:rPr>
        <w:fldChar w:fldCharType="end"/>
      </w:r>
      <w:r w:rsidRPr="008B2CC8">
        <w:rPr>
          <w:rFonts w:ascii="Times New Roman" w:eastAsia="Times New Roman" w:hAnsi="Times New Roman" w:cs="Arial"/>
          <w:color w:val="000000"/>
        </w:rPr>
        <w:t xml:space="preserve"> Amplitude and implicit time of </w:t>
      </w:r>
      <w:r w:rsidRPr="008B2CC8">
        <w:rPr>
          <w:rFonts w:ascii="Times New Roman" w:eastAsia="Times New Roman" w:hAnsi="Times New Roman" w:cs="Arial"/>
          <w:i/>
          <w:color w:val="000000"/>
        </w:rPr>
        <w:t>a</w:t>
      </w:r>
      <w:r w:rsidRPr="008B2CC8">
        <w:rPr>
          <w:rFonts w:ascii="Times New Roman" w:eastAsia="Times New Roman" w:hAnsi="Times New Roman" w:cs="Arial"/>
          <w:color w:val="000000"/>
        </w:rPr>
        <w:t xml:space="preserve"> and</w:t>
      </w:r>
      <w:r w:rsidRPr="008B2CC8">
        <w:rPr>
          <w:rFonts w:ascii="Times New Roman" w:eastAsia="Times New Roman" w:hAnsi="Times New Roman" w:cs="Arial"/>
          <w:i/>
          <w:color w:val="000000"/>
        </w:rPr>
        <w:t xml:space="preserve"> b</w:t>
      </w:r>
      <w:r w:rsidRPr="008B2CC8">
        <w:rPr>
          <w:rFonts w:ascii="Times New Roman" w:eastAsia="Times New Roman" w:hAnsi="Times New Roman" w:cs="Arial"/>
          <w:color w:val="000000"/>
        </w:rPr>
        <w:t xml:space="preserve"> waves of eight averaged stimulus responses for each phase were analyzed. The limits of normal values for each specific ffERG </w:t>
      </w:r>
      <w:r w:rsidRPr="008B2CC8">
        <w:rPr>
          <w:rFonts w:ascii="Times New Roman" w:eastAsia="Times New Roman" w:hAnsi="Times New Roman" w:cs="Arial"/>
        </w:rPr>
        <w:t>response were established at 95% confidence limits. The exam was considered normal when ffERG scotopic parameters in both eyes were within the limit of ±2 standard deviation in comparison with a normative database adjusted for age range.</w:t>
      </w:r>
    </w:p>
    <w:p w14:paraId="3AFB28A3" w14:textId="77777777" w:rsidR="00A55B63" w:rsidRPr="008B2CC8" w:rsidRDefault="00A55B63" w:rsidP="00A55B63">
      <w:pPr>
        <w:spacing w:line="360" w:lineRule="auto"/>
        <w:contextualSpacing/>
        <w:jc w:val="both"/>
        <w:rPr>
          <w:rFonts w:cs="Arial"/>
          <w:i/>
          <w:iCs/>
          <w:sz w:val="22"/>
          <w:szCs w:val="22"/>
          <w:lang w:val="en-US"/>
        </w:rPr>
      </w:pPr>
      <w:r w:rsidRPr="008B2CC8">
        <w:rPr>
          <w:rFonts w:cs="Arial"/>
          <w:i/>
          <w:iCs/>
          <w:sz w:val="22"/>
          <w:szCs w:val="22"/>
          <w:lang w:val="en-US"/>
        </w:rPr>
        <w:t>SAP measurements</w:t>
      </w:r>
    </w:p>
    <w:p w14:paraId="5052B8B9" w14:textId="77777777" w:rsidR="00A55B63" w:rsidRPr="008B2CC8" w:rsidRDefault="00A55B63" w:rsidP="00A55B63">
      <w:pPr>
        <w:spacing w:line="360" w:lineRule="auto"/>
        <w:ind w:firstLine="284"/>
        <w:contextualSpacing/>
        <w:rPr>
          <w:rFonts w:cs="Arial"/>
          <w:i/>
          <w:iCs/>
          <w:sz w:val="22"/>
          <w:szCs w:val="22"/>
          <w:lang w:val="en-US"/>
        </w:rPr>
      </w:pPr>
      <w:r w:rsidRPr="008B2CC8">
        <w:rPr>
          <w:rFonts w:cs="Arial"/>
          <w:sz w:val="22"/>
          <w:szCs w:val="22"/>
          <w:lang w:val="en-US"/>
        </w:rPr>
        <w:t>SAP was conducted using the Swedish Interactive Thresholding Algorithm (SITA) Central Standard 24-2 test (Humphrey Field Analyzer</w:t>
      </w:r>
      <w:r w:rsidRPr="008B2CC8">
        <w:rPr>
          <w:rFonts w:cs="Arial"/>
          <w:color w:val="000000"/>
          <w:sz w:val="22"/>
          <w:szCs w:val="22"/>
          <w:lang w:val="en-US"/>
        </w:rPr>
        <w:t>®</w:t>
      </w:r>
      <w:r w:rsidRPr="008B2CC8">
        <w:rPr>
          <w:rFonts w:cs="Arial"/>
          <w:sz w:val="22"/>
          <w:szCs w:val="22"/>
          <w:lang w:val="en-US"/>
        </w:rPr>
        <w:t>, Carl Zeiss Meditec) with a Goldman III size stimulus on a 100 cd/m</w:t>
      </w:r>
      <w:r w:rsidRPr="008B2CC8">
        <w:rPr>
          <w:rFonts w:cs="Arial"/>
          <w:sz w:val="22"/>
          <w:szCs w:val="22"/>
          <w:vertAlign w:val="superscript"/>
          <w:lang w:val="en-US"/>
        </w:rPr>
        <w:t>2</w:t>
      </w:r>
      <w:r w:rsidRPr="008B2CC8">
        <w:rPr>
          <w:rFonts w:cs="Arial"/>
          <w:sz w:val="22"/>
          <w:szCs w:val="22"/>
          <w:lang w:val="en-US"/>
        </w:rPr>
        <w:t xml:space="preserve"> (31.5-apostilb) background for inclusion purposes and undilated pupils. The 24-2 pattern was chosen because its testing field closely matches the stimulus area of the mfERG responses. An optimal lens correction was used and the fellow eye was occluded with an eye patch. Reliability criteria were false positives, false negatives or fixation losses less than 20%. The mean deviation (MD), PSD, fovea and visual field index (VFI) values were analyzed. Mean sensitivity (MS) was analyzed for 52 test points, after excluding one immediately above and another below the blind spot. </w:t>
      </w:r>
      <w:r w:rsidRPr="008B2CC8">
        <w:rPr>
          <w:rFonts w:cs="Arial"/>
          <w:bCs/>
          <w:sz w:val="22"/>
          <w:szCs w:val="22"/>
          <w:lang w:val="en-US"/>
        </w:rPr>
        <w:t>Central sensitivity</w:t>
      </w:r>
      <w:r w:rsidRPr="008B2CC8">
        <w:rPr>
          <w:rFonts w:cs="Arial"/>
          <w:sz w:val="22"/>
          <w:szCs w:val="22"/>
          <w:lang w:val="en-US"/>
        </w:rPr>
        <w:t xml:space="preserve"> (CS) was evaluated using the average visual sensitivity value at four central test points. For the purpose of calculation, values in decibel (dB) were converted to linear 1/L units, using the formula: 1/L = 10</w:t>
      </w:r>
      <w:r w:rsidRPr="008B2CC8">
        <w:rPr>
          <w:rFonts w:cs="Arial"/>
          <w:sz w:val="22"/>
          <w:szCs w:val="22"/>
          <w:vertAlign w:val="superscript"/>
          <w:lang w:val="en-US"/>
        </w:rPr>
        <w:t>dB/10</w:t>
      </w:r>
      <w:r w:rsidRPr="008B2CC8">
        <w:rPr>
          <w:rFonts w:cs="Arial"/>
          <w:sz w:val="22"/>
          <w:szCs w:val="22"/>
          <w:lang w:val="en-US"/>
        </w:rPr>
        <w:t xml:space="preserve">. </w:t>
      </w:r>
    </w:p>
    <w:p w14:paraId="1085844D" w14:textId="77777777" w:rsidR="00A55B63" w:rsidRPr="008B2CC8" w:rsidRDefault="00A55B63" w:rsidP="00A55B63">
      <w:pPr>
        <w:spacing w:line="360" w:lineRule="auto"/>
        <w:contextualSpacing/>
        <w:jc w:val="both"/>
        <w:rPr>
          <w:rFonts w:cs="Arial"/>
          <w:sz w:val="22"/>
          <w:szCs w:val="22"/>
          <w:lang w:val="en-US"/>
        </w:rPr>
      </w:pPr>
    </w:p>
    <w:p w14:paraId="6D313172" w14:textId="77777777" w:rsidR="00A55B63" w:rsidRPr="008B2CC8" w:rsidRDefault="00A55B63" w:rsidP="00A55B63">
      <w:pPr>
        <w:spacing w:line="360" w:lineRule="auto"/>
        <w:contextualSpacing/>
        <w:jc w:val="both"/>
        <w:rPr>
          <w:rFonts w:cs="Arial"/>
          <w:i/>
          <w:iCs/>
          <w:sz w:val="22"/>
          <w:szCs w:val="22"/>
          <w:lang w:val="en-US"/>
        </w:rPr>
      </w:pPr>
      <w:r w:rsidRPr="008B2CC8">
        <w:rPr>
          <w:rFonts w:cs="Arial"/>
          <w:i/>
          <w:iCs/>
          <w:sz w:val="22"/>
          <w:szCs w:val="22"/>
          <w:lang w:val="en-US"/>
        </w:rPr>
        <w:t>OCT measurements</w:t>
      </w:r>
    </w:p>
    <w:p w14:paraId="1342DA74" w14:textId="072B3039" w:rsidR="00A55B63" w:rsidRPr="008B2CC8" w:rsidRDefault="00A55B63" w:rsidP="00A55B63">
      <w:pPr>
        <w:pStyle w:val="Normal1"/>
        <w:spacing w:line="360" w:lineRule="auto"/>
        <w:ind w:firstLine="284"/>
        <w:contextualSpacing/>
        <w:rPr>
          <w:rFonts w:ascii="Times New Roman" w:eastAsia="Times New Roman" w:hAnsi="Times New Roman" w:cs="Arial"/>
          <w:color w:val="000000" w:themeColor="text1"/>
        </w:rPr>
      </w:pPr>
      <w:r w:rsidRPr="008B2CC8">
        <w:rPr>
          <w:rFonts w:ascii="Times New Roman" w:eastAsia="Times New Roman" w:hAnsi="Times New Roman" w:cs="Arial"/>
          <w:color w:val="000000"/>
        </w:rPr>
        <w:t>OCT and EDI-OCT were performed using SD-OCT scanning (Spectralis® HRA+OCT, Heidelberg Engineering, Germany) of the macular area following pupil dilation with 1% tropicamide. The images were acquired using the automated eye alignment eye-tracking software (TruTrack; Heidelberg Engineering). The software scores the quality of the signal strength of the images on a scale from poor (0 dB) to excellent (40 dB). A quality index of at least 20 was required for all images. The built-in scan acquisition function termed “section” was utilized to acquire two high-resolution scans covering a linear 30º fundus area (6mm) in both the horizontal and vertical orientations and centered on the macular umbo</w:t>
      </w:r>
      <w:r w:rsidRPr="008B2CC8">
        <w:rPr>
          <w:rFonts w:ascii="Times New Roman" w:eastAsia="Times New Roman" w:hAnsi="Times New Roman" w:cs="Arial"/>
          <w:color w:val="000000" w:themeColor="text1"/>
        </w:rPr>
        <w:t xml:space="preserve">. The horizontal scan </w:t>
      </w:r>
      <w:r w:rsidRPr="008B2CC8">
        <w:rPr>
          <w:rFonts w:ascii="Times New Roman" w:eastAsia="Times New Roman" w:hAnsi="Times New Roman" w:cs="Arial"/>
          <w:color w:val="000000" w:themeColor="text1"/>
        </w:rPr>
        <w:lastRenderedPageBreak/>
        <w:t xml:space="preserve">was repeated with enhanced depth image (EDI) mode activated. </w:t>
      </w:r>
      <w:r w:rsidRPr="008B2CC8">
        <w:rPr>
          <w:rFonts w:ascii="Times New Roman" w:eastAsia="Times New Roman" w:hAnsi="Times New Roman" w:cs="Arial"/>
        </w:rPr>
        <w:t xml:space="preserve">Two experienced observers (FMSS and JHY) masked to visual acuities measured several variables. Foveal retinal thickness (FRT) was defined as the retinal thickness of the central 1.0mm; central retinal thickness (CRT) was defined as the mean retinal thickness of the central 6.0 mm and choroidal thickness (CT) as the subfoveal choroidal thickness on EDI-OCT horizontal scan. </w:t>
      </w:r>
      <w:r w:rsidRPr="008B2CC8">
        <w:rPr>
          <w:rFonts w:ascii="Times New Roman" w:eastAsia="Times New Roman" w:hAnsi="Times New Roman" w:cs="Arial"/>
          <w:color w:val="000000"/>
        </w:rPr>
        <w:t xml:space="preserve">The OCT data were utilized to characterize the outer retinal structure of the macula, herein represented by the overall appearance of </w:t>
      </w:r>
      <w:r w:rsidRPr="008B2CC8">
        <w:rPr>
          <w:rFonts w:ascii="Times New Roman" w:eastAsia="Times New Roman" w:hAnsi="Times New Roman" w:cs="Times New Roman"/>
          <w:color w:val="000000"/>
        </w:rPr>
        <w:t>the hyper-reflective layer corresponding to the junction of the inner and outer segments of the photoreceptors (</w:t>
      </w:r>
      <w:r w:rsidR="008B2CC8" w:rsidRPr="008B2CC8">
        <w:rPr>
          <w:rFonts w:ascii="Times New Roman" w:hAnsi="Times New Roman" w:cs="Times New Roman"/>
        </w:rPr>
        <w:t>ellipsoid zone</w:t>
      </w:r>
      <w:r w:rsidRPr="008B2CC8">
        <w:rPr>
          <w:rFonts w:ascii="Times New Roman" w:eastAsia="Times New Roman" w:hAnsi="Times New Roman" w:cs="Times New Roman"/>
          <w:color w:val="000000"/>
        </w:rPr>
        <w:t xml:space="preserve">). </w:t>
      </w:r>
      <w:r w:rsidRPr="008B2CC8">
        <w:rPr>
          <w:rFonts w:ascii="Times New Roman" w:eastAsia="Times New Roman" w:hAnsi="Times New Roman" w:cs="Times New Roman"/>
        </w:rPr>
        <w:t xml:space="preserve">The </w:t>
      </w:r>
      <w:r w:rsidR="008B2CC8" w:rsidRPr="008B2CC8">
        <w:rPr>
          <w:rFonts w:ascii="Times New Roman" w:hAnsi="Times New Roman" w:cs="Times New Roman"/>
        </w:rPr>
        <w:t>ellipsoid zone</w:t>
      </w:r>
      <w:r w:rsidR="008B2CC8" w:rsidRPr="008B2CC8">
        <w:rPr>
          <w:rFonts w:ascii="Times New Roman" w:eastAsia="Times New Roman" w:hAnsi="Times New Roman" w:cs="Arial"/>
        </w:rPr>
        <w:t xml:space="preserve"> </w:t>
      </w:r>
      <w:r w:rsidRPr="008B2CC8">
        <w:rPr>
          <w:rFonts w:ascii="Times New Roman" w:eastAsia="Times New Roman" w:hAnsi="Times New Roman" w:cs="Arial"/>
        </w:rPr>
        <w:t xml:space="preserve">line that was a third band of high reflectance within the central 6.0 mm on tomograms was classified into three groups: Group 1, intact </w:t>
      </w:r>
      <w:r w:rsidR="008B2CC8" w:rsidRPr="008B2CC8">
        <w:rPr>
          <w:rFonts w:ascii="Times New Roman" w:hAnsi="Times New Roman" w:cs="Times New Roman"/>
        </w:rPr>
        <w:t>ellipsoid zone</w:t>
      </w:r>
      <w:r w:rsidRPr="008B2CC8">
        <w:rPr>
          <w:rFonts w:ascii="Times New Roman" w:eastAsia="Times New Roman" w:hAnsi="Times New Roman" w:cs="Arial"/>
        </w:rPr>
        <w:t xml:space="preserve"> line; Group 2, focal disruption of </w:t>
      </w:r>
      <w:r w:rsidRPr="008B2CC8">
        <w:rPr>
          <w:rFonts w:ascii="Times New Roman" w:eastAsia="Times New Roman" w:hAnsi="Times New Roman" w:cs="Arial"/>
          <w:color w:val="000000" w:themeColor="text1"/>
        </w:rPr>
        <w:t xml:space="preserve">the </w:t>
      </w:r>
      <w:r w:rsidR="008B2CC8" w:rsidRPr="008B2CC8">
        <w:rPr>
          <w:rFonts w:ascii="Times New Roman" w:hAnsi="Times New Roman" w:cs="Times New Roman"/>
        </w:rPr>
        <w:t>ellipsoid zone</w:t>
      </w:r>
      <w:r w:rsidR="008B2CC8" w:rsidRPr="008B2CC8">
        <w:rPr>
          <w:rFonts w:ascii="Times New Roman" w:eastAsia="Times New Roman" w:hAnsi="Times New Roman" w:cs="Arial"/>
          <w:color w:val="000000" w:themeColor="text1"/>
        </w:rPr>
        <w:t xml:space="preserve"> line </w:t>
      </w:r>
      <w:r w:rsidRPr="008B2CC8">
        <w:rPr>
          <w:rFonts w:ascii="Times New Roman" w:eastAsia="Times New Roman" w:hAnsi="Times New Roman" w:cs="Arial"/>
          <w:color w:val="000000" w:themeColor="text1"/>
        </w:rPr>
        <w:t>of 500</w:t>
      </w:r>
      <w:r w:rsidRPr="008B2CC8">
        <w:rPr>
          <w:rFonts w:ascii="Times New Roman" w:eastAsia="Times New Roman" w:hAnsi="Times New Roman" w:cs="Arial"/>
          <w:bCs/>
          <w:color w:val="000000" w:themeColor="text1"/>
        </w:rPr>
        <w:t>µm</w:t>
      </w:r>
      <w:r w:rsidRPr="008B2CC8">
        <w:rPr>
          <w:rFonts w:ascii="Times New Roman" w:eastAsia="Times New Roman" w:hAnsi="Times New Roman" w:cs="Arial"/>
          <w:color w:val="000000" w:themeColor="text1"/>
        </w:rPr>
        <w:t xml:space="preserve"> or less; Group 3, focal disruption of the </w:t>
      </w:r>
      <w:r w:rsidR="008B2CC8" w:rsidRPr="008B2CC8">
        <w:rPr>
          <w:rFonts w:ascii="Times New Roman" w:hAnsi="Times New Roman" w:cs="Times New Roman"/>
        </w:rPr>
        <w:t>ellipsoid zone</w:t>
      </w:r>
      <w:r w:rsidR="008B2CC8" w:rsidRPr="008B2CC8">
        <w:rPr>
          <w:rFonts w:ascii="Times New Roman" w:eastAsia="Times New Roman" w:hAnsi="Times New Roman" w:cs="Arial"/>
          <w:color w:val="000000" w:themeColor="text1"/>
        </w:rPr>
        <w:t xml:space="preserve"> line </w:t>
      </w:r>
      <w:r w:rsidRPr="008B2CC8">
        <w:rPr>
          <w:rFonts w:ascii="Times New Roman" w:eastAsia="Times New Roman" w:hAnsi="Times New Roman" w:cs="Arial"/>
          <w:color w:val="000000" w:themeColor="text1"/>
        </w:rPr>
        <w:t>greater than 500</w:t>
      </w:r>
      <w:r w:rsidRPr="008B2CC8">
        <w:rPr>
          <w:rFonts w:ascii="Times New Roman" w:eastAsia="Times New Roman" w:hAnsi="Times New Roman" w:cs="Arial"/>
          <w:bCs/>
          <w:color w:val="000000" w:themeColor="text1"/>
        </w:rPr>
        <w:t xml:space="preserve">µm. </w:t>
      </w:r>
    </w:p>
    <w:p w14:paraId="06C34752" w14:textId="77777777" w:rsidR="00A55B63" w:rsidRPr="008B2CC8" w:rsidRDefault="00A55B63" w:rsidP="00A55B63">
      <w:pPr>
        <w:spacing w:line="360" w:lineRule="auto"/>
        <w:contextualSpacing/>
        <w:jc w:val="both"/>
        <w:rPr>
          <w:rFonts w:cs="Arial"/>
          <w:i/>
          <w:iCs/>
          <w:sz w:val="22"/>
          <w:szCs w:val="22"/>
          <w:lang w:val="en-US"/>
        </w:rPr>
      </w:pPr>
      <w:r w:rsidRPr="008B2CC8">
        <w:rPr>
          <w:rFonts w:cs="Arial"/>
          <w:i/>
          <w:iCs/>
          <w:sz w:val="22"/>
          <w:szCs w:val="22"/>
          <w:lang w:val="en-US"/>
        </w:rPr>
        <w:t xml:space="preserve">Data analysis  </w:t>
      </w:r>
    </w:p>
    <w:p w14:paraId="0C93CA97" w14:textId="77777777" w:rsidR="00A55B63" w:rsidRPr="008B2CC8" w:rsidRDefault="00A55B63" w:rsidP="00A55B63">
      <w:pPr>
        <w:pStyle w:val="Normal1"/>
        <w:spacing w:line="360" w:lineRule="auto"/>
        <w:ind w:firstLine="284"/>
        <w:contextualSpacing/>
        <w:rPr>
          <w:rFonts w:ascii="Times New Roman" w:eastAsia="Times New Roman" w:hAnsi="Times New Roman" w:cs="Arial"/>
        </w:rPr>
      </w:pPr>
      <w:r w:rsidRPr="008B2CC8">
        <w:rPr>
          <w:rFonts w:ascii="Times New Roman" w:eastAsia="Times New Roman" w:hAnsi="Times New Roman" w:cs="Arial"/>
          <w:color w:val="000000"/>
        </w:rPr>
        <w:t xml:space="preserve">Descriptive statistical analysis was performed to describe socio-demographic and clinical data, and distributions were summarized using </w:t>
      </w:r>
      <w:r w:rsidRPr="008B2CC8">
        <w:rPr>
          <w:rFonts w:ascii="Times New Roman" w:hAnsi="Times New Roman" w:cs="Arial"/>
          <w:color w:val="000000" w:themeColor="text1"/>
        </w:rPr>
        <w:t xml:space="preserve">mean and standard deviation (SD). Patients had both eyes included for analysis. Therefore, generalized estimated equations with Poisson distribution and log link function were used for analyzing binary ocular data and Bonferroni correction for multiple comparison. </w:t>
      </w:r>
      <w:r w:rsidRPr="008B2CC8">
        <w:rPr>
          <w:rFonts w:ascii="Times New Roman" w:eastAsia="Times New Roman" w:hAnsi="Times New Roman" w:cs="Arial"/>
          <w:color w:val="000000" w:themeColor="text1"/>
        </w:rPr>
        <w:t xml:space="preserve">Additional Pearson correlation analysis was performed to determine the degree of associations between SAP, mfERG and OCT findings. A </w:t>
      </w:r>
      <w:r w:rsidRPr="008B2CC8">
        <w:rPr>
          <w:rFonts w:ascii="Times New Roman" w:eastAsia="Times New Roman" w:hAnsi="Times New Roman" w:cs="Arial"/>
          <w:i/>
          <w:color w:val="000000" w:themeColor="text1"/>
        </w:rPr>
        <w:t>p</w:t>
      </w:r>
      <w:r w:rsidRPr="008B2CC8">
        <w:rPr>
          <w:rFonts w:ascii="Times New Roman" w:eastAsia="Times New Roman" w:hAnsi="Times New Roman" w:cs="Arial"/>
          <w:color w:val="000000" w:themeColor="text1"/>
        </w:rPr>
        <w:t xml:space="preserve">-value &lt;0.05 indicated a statistical </w:t>
      </w:r>
      <w:r w:rsidRPr="008B2CC8">
        <w:rPr>
          <w:rFonts w:ascii="Times New Roman" w:eastAsia="Times New Roman" w:hAnsi="Times New Roman" w:cs="Arial"/>
        </w:rPr>
        <w:t>significance. The Statistical Package for the Social Sciences version 22.0 software (SPSS Inc., Chicago, Illinois, USA) was used for statistical analysis.</w:t>
      </w:r>
    </w:p>
    <w:p w14:paraId="1CCFC65E" w14:textId="77777777" w:rsidR="00A55B63" w:rsidRPr="008B2CC8" w:rsidRDefault="00A55B63" w:rsidP="00A55B63">
      <w:pPr>
        <w:pStyle w:val="Normal1"/>
        <w:spacing w:line="360" w:lineRule="auto"/>
        <w:ind w:firstLine="284"/>
        <w:contextualSpacing/>
        <w:rPr>
          <w:rFonts w:ascii="Times New Roman" w:eastAsia="Times New Roman" w:hAnsi="Times New Roman" w:cs="Arial"/>
        </w:rPr>
      </w:pPr>
    </w:p>
    <w:p w14:paraId="69F9D0DF" w14:textId="77777777" w:rsidR="00A55B63" w:rsidRPr="008B2CC8" w:rsidRDefault="00A55B63" w:rsidP="00A55B63">
      <w:pPr>
        <w:spacing w:line="360" w:lineRule="auto"/>
        <w:contextualSpacing/>
        <w:jc w:val="both"/>
        <w:rPr>
          <w:rFonts w:cs="Arial"/>
          <w:b/>
          <w:bCs/>
          <w:sz w:val="22"/>
          <w:szCs w:val="22"/>
          <w:lang w:val="en-US"/>
        </w:rPr>
      </w:pPr>
      <w:r w:rsidRPr="008B2CC8">
        <w:rPr>
          <w:rFonts w:cs="Arial"/>
          <w:b/>
          <w:bCs/>
          <w:sz w:val="22"/>
          <w:szCs w:val="22"/>
          <w:lang w:val="en-US"/>
        </w:rPr>
        <w:t>RESULTS</w:t>
      </w:r>
    </w:p>
    <w:p w14:paraId="2FCEFB37" w14:textId="77777777" w:rsidR="00A55B63" w:rsidRPr="008B2CC8" w:rsidRDefault="00A55B63" w:rsidP="00A55B63">
      <w:pPr>
        <w:spacing w:line="360" w:lineRule="auto"/>
        <w:ind w:firstLine="284"/>
        <w:contextualSpacing/>
        <w:rPr>
          <w:rFonts w:cs="Arial"/>
          <w:i/>
          <w:iCs/>
          <w:color w:val="000000" w:themeColor="text1"/>
          <w:sz w:val="22"/>
          <w:szCs w:val="22"/>
          <w:lang w:val="en-US"/>
        </w:rPr>
      </w:pPr>
      <w:r w:rsidRPr="008B2CC8">
        <w:rPr>
          <w:rFonts w:cs="Arial"/>
          <w:i/>
          <w:iCs/>
          <w:color w:val="000000" w:themeColor="text1"/>
          <w:sz w:val="22"/>
          <w:szCs w:val="22"/>
          <w:lang w:val="en-US"/>
        </w:rPr>
        <w:t xml:space="preserve">General characteristics </w:t>
      </w:r>
    </w:p>
    <w:p w14:paraId="32883EA7" w14:textId="7D495D3C" w:rsidR="00A55B63" w:rsidRPr="008B2CC8" w:rsidRDefault="00A55B63" w:rsidP="00A55B63">
      <w:pPr>
        <w:spacing w:line="360" w:lineRule="auto"/>
        <w:ind w:firstLine="284"/>
        <w:contextualSpacing/>
        <w:rPr>
          <w:rFonts w:cs="Arial"/>
          <w:color w:val="7030A0"/>
          <w:sz w:val="22"/>
          <w:szCs w:val="22"/>
          <w:lang w:val="en-US"/>
        </w:rPr>
      </w:pPr>
      <w:r w:rsidRPr="008B2CC8">
        <w:rPr>
          <w:rFonts w:cs="Arial"/>
          <w:color w:val="000000" w:themeColor="text1"/>
          <w:sz w:val="22"/>
          <w:szCs w:val="22"/>
          <w:lang w:val="en-US"/>
        </w:rPr>
        <w:t>Eighteen</w:t>
      </w:r>
      <w:r w:rsidRPr="008B2CC8">
        <w:rPr>
          <w:rFonts w:cs="Arial"/>
          <w:b/>
          <w:color w:val="000000" w:themeColor="text1"/>
          <w:sz w:val="22"/>
          <w:szCs w:val="22"/>
          <w:lang w:val="en-US"/>
        </w:rPr>
        <w:t xml:space="preserve"> </w:t>
      </w:r>
      <w:r w:rsidRPr="008B2CC8">
        <w:rPr>
          <w:rFonts w:cs="Arial"/>
          <w:color w:val="000000" w:themeColor="text1"/>
          <w:sz w:val="22"/>
          <w:szCs w:val="22"/>
          <w:lang w:val="en-US"/>
        </w:rPr>
        <w:t>patients (36 eyes, 16 female) with non-acute VKHD were evaluated. The mean age was 37.1</w:t>
      </w:r>
      <w:r w:rsidRPr="008B2CC8">
        <w:rPr>
          <w:rFonts w:cs="Arial"/>
          <w:color w:val="000000" w:themeColor="text1"/>
          <w:sz w:val="22"/>
          <w:szCs w:val="22"/>
          <w:shd w:val="clear" w:color="auto" w:fill="FFFFFF"/>
          <w:lang w:val="en-US"/>
        </w:rPr>
        <w:t>±</w:t>
      </w:r>
      <w:r w:rsidRPr="008B2CC8">
        <w:rPr>
          <w:rFonts w:cs="Arial"/>
          <w:color w:val="000000" w:themeColor="text1"/>
          <w:sz w:val="22"/>
          <w:szCs w:val="22"/>
          <w:lang w:val="en-US"/>
        </w:rPr>
        <w:t>13 years and mean disease duration was 46.9</w:t>
      </w:r>
      <w:r w:rsidRPr="008B2CC8">
        <w:rPr>
          <w:rFonts w:cs="Arial"/>
          <w:color w:val="000000" w:themeColor="text1"/>
          <w:sz w:val="22"/>
          <w:szCs w:val="22"/>
          <w:shd w:val="clear" w:color="auto" w:fill="FFFFFF"/>
          <w:lang w:val="en-US"/>
        </w:rPr>
        <w:t>±23.7</w:t>
      </w:r>
      <w:r w:rsidRPr="008B2CC8">
        <w:rPr>
          <w:rFonts w:cs="Arial"/>
          <w:color w:val="000000" w:themeColor="text1"/>
          <w:sz w:val="22"/>
          <w:szCs w:val="22"/>
          <w:lang w:val="en-US"/>
        </w:rPr>
        <w:t xml:space="preserve"> months. Patients’ clinical profile (</w:t>
      </w:r>
      <w:r w:rsidRPr="008B2CC8">
        <w:rPr>
          <w:rFonts w:cs="Arial"/>
          <w:b/>
          <w:bCs/>
          <w:color w:val="000000" w:themeColor="text1"/>
          <w:sz w:val="22"/>
          <w:szCs w:val="22"/>
          <w:lang w:val="en-US"/>
        </w:rPr>
        <w:t>Table 1</w:t>
      </w:r>
      <w:r w:rsidRPr="008B2CC8">
        <w:rPr>
          <w:rFonts w:cs="Arial"/>
          <w:color w:val="000000" w:themeColor="text1"/>
          <w:sz w:val="22"/>
          <w:szCs w:val="22"/>
          <w:lang w:val="en-US"/>
        </w:rPr>
        <w:t>) demonstrated that 81% of eyes had VA of 20/20 (</w:t>
      </w:r>
      <w:r w:rsidR="00A97F8E" w:rsidRPr="008B2CC8">
        <w:rPr>
          <w:rFonts w:cs="Arial"/>
          <w:color w:val="000000" w:themeColor="text1"/>
          <w:sz w:val="22"/>
          <w:szCs w:val="22"/>
          <w:lang w:val="en-US"/>
        </w:rPr>
        <w:t xml:space="preserve">14 patients had </w:t>
      </w:r>
      <w:r w:rsidRPr="008B2CC8">
        <w:rPr>
          <w:rFonts w:cs="Arial"/>
          <w:color w:val="000000" w:themeColor="text1"/>
          <w:sz w:val="22"/>
          <w:szCs w:val="22"/>
          <w:lang w:val="en-US"/>
        </w:rPr>
        <w:t xml:space="preserve">VA of 20/20 in </w:t>
      </w:r>
      <w:r w:rsidR="00A97F8E" w:rsidRPr="008B2CC8">
        <w:rPr>
          <w:rFonts w:cs="Arial"/>
          <w:color w:val="000000" w:themeColor="text1"/>
          <w:sz w:val="22"/>
          <w:szCs w:val="22"/>
          <w:lang w:val="en-US"/>
        </w:rPr>
        <w:t>both eyes</w:t>
      </w:r>
      <w:r w:rsidRPr="008B2CC8">
        <w:rPr>
          <w:rFonts w:cs="Arial"/>
          <w:color w:val="000000" w:themeColor="text1"/>
          <w:sz w:val="22"/>
          <w:szCs w:val="22"/>
          <w:lang w:val="en-US"/>
        </w:rPr>
        <w:t xml:space="preserve">; </w:t>
      </w:r>
      <w:r w:rsidR="00A97F8E" w:rsidRPr="008B2CC8">
        <w:rPr>
          <w:rFonts w:cs="Arial"/>
          <w:color w:val="000000" w:themeColor="text1"/>
          <w:sz w:val="22"/>
          <w:szCs w:val="22"/>
          <w:lang w:val="en-US"/>
        </w:rPr>
        <w:t xml:space="preserve">range of </w:t>
      </w:r>
      <w:r w:rsidRPr="008B2CC8">
        <w:rPr>
          <w:rFonts w:cs="Arial"/>
          <w:color w:val="000000" w:themeColor="text1"/>
          <w:sz w:val="22"/>
          <w:szCs w:val="22"/>
          <w:lang w:val="en-US"/>
        </w:rPr>
        <w:t>VA 20/20</w:t>
      </w:r>
      <w:r w:rsidR="00A97F8E" w:rsidRPr="008B2CC8">
        <w:rPr>
          <w:rFonts w:cs="Arial"/>
          <w:color w:val="000000" w:themeColor="text1"/>
          <w:sz w:val="22"/>
          <w:szCs w:val="22"/>
          <w:lang w:val="en-US"/>
        </w:rPr>
        <w:t xml:space="preserve"> to 20/60</w:t>
      </w:r>
      <w:r w:rsidRPr="008B2CC8">
        <w:rPr>
          <w:rFonts w:cs="Arial"/>
          <w:color w:val="000000" w:themeColor="text1"/>
          <w:sz w:val="22"/>
          <w:szCs w:val="22"/>
          <w:lang w:val="en-US"/>
        </w:rPr>
        <w:t xml:space="preserve">), 89% of eyes </w:t>
      </w:r>
      <w:r w:rsidRPr="008B2CC8">
        <w:rPr>
          <w:rFonts w:cs="Arial"/>
          <w:sz w:val="22"/>
          <w:szCs w:val="22"/>
          <w:lang w:val="en-US"/>
        </w:rPr>
        <w:t xml:space="preserve">had a mild or moderate fundus classification in the worse eye and 33% of patients had abnormal ffERG. </w:t>
      </w:r>
      <w:r w:rsidRPr="008B2CC8">
        <w:rPr>
          <w:rFonts w:cs="Arial"/>
          <w:color w:val="000000" w:themeColor="text1"/>
          <w:sz w:val="22"/>
          <w:szCs w:val="22"/>
          <w:lang w:val="en-US"/>
        </w:rPr>
        <w:t xml:space="preserve">Anterior chamber cells and macular edema (clinical signs of activity) were present in 2 and 5 eyes, respectively. </w:t>
      </w:r>
    </w:p>
    <w:p w14:paraId="2FD8660F" w14:textId="77777777" w:rsidR="00A55B63" w:rsidRPr="008B2CC8" w:rsidRDefault="00A55B63" w:rsidP="00A55B63">
      <w:pPr>
        <w:spacing w:line="360" w:lineRule="auto"/>
        <w:ind w:firstLine="284"/>
        <w:contextualSpacing/>
        <w:rPr>
          <w:rFonts w:cs="Arial"/>
          <w:sz w:val="22"/>
          <w:szCs w:val="22"/>
          <w:lang w:val="en-US"/>
        </w:rPr>
      </w:pPr>
    </w:p>
    <w:p w14:paraId="1BD01BAD" w14:textId="77777777" w:rsidR="00A55B63" w:rsidRPr="008B2CC8" w:rsidRDefault="00A55B63" w:rsidP="00A55B63">
      <w:pPr>
        <w:spacing w:line="360" w:lineRule="auto"/>
        <w:ind w:firstLine="284"/>
        <w:contextualSpacing/>
        <w:rPr>
          <w:rFonts w:cs="Arial"/>
          <w:i/>
          <w:iCs/>
          <w:sz w:val="22"/>
          <w:szCs w:val="22"/>
          <w:lang w:val="en-US"/>
        </w:rPr>
      </w:pPr>
      <w:r w:rsidRPr="008B2CC8">
        <w:rPr>
          <w:rFonts w:cs="Arial"/>
          <w:i/>
          <w:iCs/>
          <w:sz w:val="22"/>
          <w:szCs w:val="22"/>
          <w:lang w:val="en-US"/>
        </w:rPr>
        <w:t>mfERG measurements</w:t>
      </w:r>
    </w:p>
    <w:p w14:paraId="56D8EAEC" w14:textId="11DD7871" w:rsidR="00A55B63" w:rsidRPr="008B2CC8" w:rsidRDefault="00A55B63" w:rsidP="00BE4CF5">
      <w:pPr>
        <w:spacing w:line="360" w:lineRule="auto"/>
        <w:ind w:firstLine="284"/>
        <w:contextualSpacing/>
        <w:rPr>
          <w:rFonts w:cs="Arial"/>
          <w:color w:val="000000" w:themeColor="text1"/>
          <w:sz w:val="22"/>
          <w:szCs w:val="22"/>
          <w:lang w:val="en-US"/>
        </w:rPr>
      </w:pPr>
      <w:r w:rsidRPr="008B2CC8">
        <w:rPr>
          <w:rFonts w:cs="Arial"/>
          <w:sz w:val="22"/>
          <w:szCs w:val="22"/>
          <w:lang w:val="en-US"/>
        </w:rPr>
        <w:t xml:space="preserve">All mfERG parameters were </w:t>
      </w:r>
      <w:r w:rsidRPr="008B2CC8">
        <w:rPr>
          <w:rFonts w:cs="Arial"/>
          <w:color w:val="000000" w:themeColor="text1"/>
          <w:sz w:val="22"/>
          <w:szCs w:val="22"/>
          <w:lang w:val="en-US"/>
        </w:rPr>
        <w:t xml:space="preserve">significantly worse in VKHD patients than in normal controls. Mean N1 amplitude </w:t>
      </w:r>
      <w:r w:rsidRPr="008B2CC8">
        <w:rPr>
          <w:rFonts w:cs="Arial"/>
          <w:bCs/>
          <w:color w:val="000000"/>
          <w:sz w:val="22"/>
          <w:szCs w:val="22"/>
          <w:lang w:val="en-US"/>
        </w:rPr>
        <w:t>(µV/deg</w:t>
      </w:r>
      <w:r w:rsidRPr="008B2CC8">
        <w:rPr>
          <w:rFonts w:cs="Arial"/>
          <w:bCs/>
          <w:color w:val="000000"/>
          <w:sz w:val="22"/>
          <w:szCs w:val="22"/>
          <w:vertAlign w:val="superscript"/>
          <w:lang w:val="en-US"/>
        </w:rPr>
        <w:t>2</w:t>
      </w:r>
      <w:r w:rsidRPr="008B2CC8">
        <w:rPr>
          <w:rFonts w:cs="Arial"/>
          <w:bCs/>
          <w:color w:val="000000"/>
          <w:sz w:val="22"/>
          <w:szCs w:val="22"/>
          <w:lang w:val="en-US"/>
        </w:rPr>
        <w:t>) was 9.3</w:t>
      </w:r>
      <w:r w:rsidRPr="008B2CC8">
        <w:rPr>
          <w:rFonts w:cs="Arial"/>
          <w:color w:val="000000" w:themeColor="text1"/>
          <w:sz w:val="22"/>
          <w:szCs w:val="22"/>
          <w:lang w:val="en-US"/>
        </w:rPr>
        <w:t xml:space="preserve">±3.0 for patients and 12.5±2.8 for controls (p&lt;0.001); </w:t>
      </w:r>
      <w:r w:rsidRPr="008B2CC8">
        <w:rPr>
          <w:rFonts w:cs="Arial"/>
          <w:bCs/>
          <w:color w:val="000000"/>
          <w:sz w:val="22"/>
          <w:szCs w:val="22"/>
          <w:lang w:val="en-US"/>
        </w:rPr>
        <w:t>mean P1 amplitude (µV/deg</w:t>
      </w:r>
      <w:r w:rsidRPr="008B2CC8">
        <w:rPr>
          <w:rFonts w:cs="Arial"/>
          <w:bCs/>
          <w:color w:val="000000"/>
          <w:sz w:val="22"/>
          <w:szCs w:val="22"/>
          <w:vertAlign w:val="superscript"/>
          <w:lang w:val="en-US"/>
        </w:rPr>
        <w:t>2</w:t>
      </w:r>
      <w:r w:rsidRPr="008B2CC8">
        <w:rPr>
          <w:rFonts w:cs="Arial"/>
          <w:bCs/>
          <w:color w:val="000000"/>
          <w:sz w:val="22"/>
          <w:szCs w:val="22"/>
          <w:lang w:val="en-US"/>
        </w:rPr>
        <w:t xml:space="preserve">) was </w:t>
      </w:r>
      <w:r w:rsidRPr="008B2CC8">
        <w:rPr>
          <w:rFonts w:cs="Arial"/>
          <w:color w:val="000000" w:themeColor="text1"/>
          <w:sz w:val="22"/>
          <w:szCs w:val="22"/>
          <w:lang w:val="en-US"/>
        </w:rPr>
        <w:t xml:space="preserve">35.2±11.0 for patients and 47.7±7.9 for controls (p&lt;0.001); mean N1 peak time was 17.7±1.4 for patients and 16.6±0.9 for controls (p&lt;0.001) and mean P1 peak time was 32.6±2.1 for patients and 31.01±1.3 for controls (p&lt;0.001). </w:t>
      </w:r>
    </w:p>
    <w:p w14:paraId="5AB9409E" w14:textId="77777777" w:rsidR="00A55B63" w:rsidRPr="008B2CC8" w:rsidRDefault="00A55B63" w:rsidP="00A55B63">
      <w:pPr>
        <w:spacing w:line="360" w:lineRule="auto"/>
        <w:ind w:firstLine="284"/>
        <w:contextualSpacing/>
        <w:rPr>
          <w:rFonts w:cs="Arial"/>
          <w:i/>
          <w:iCs/>
          <w:sz w:val="22"/>
          <w:szCs w:val="22"/>
          <w:lang w:val="en-US"/>
        </w:rPr>
      </w:pPr>
      <w:r w:rsidRPr="008B2CC8">
        <w:rPr>
          <w:rFonts w:cs="Arial"/>
          <w:i/>
          <w:iCs/>
          <w:sz w:val="22"/>
          <w:szCs w:val="22"/>
          <w:lang w:val="en-US"/>
        </w:rPr>
        <w:lastRenderedPageBreak/>
        <w:t>SAP measurements</w:t>
      </w:r>
    </w:p>
    <w:p w14:paraId="0FF0C1EC" w14:textId="23E865DD" w:rsidR="00A55B63" w:rsidRPr="008B2CC8" w:rsidRDefault="00A55B63" w:rsidP="00A55B63">
      <w:pPr>
        <w:spacing w:line="360" w:lineRule="auto"/>
        <w:ind w:firstLine="284"/>
        <w:contextualSpacing/>
        <w:rPr>
          <w:rFonts w:cs="Arial"/>
          <w:color w:val="000000" w:themeColor="text1"/>
          <w:sz w:val="22"/>
          <w:szCs w:val="22"/>
          <w:lang w:val="en-US"/>
        </w:rPr>
      </w:pPr>
      <w:r w:rsidRPr="008B2CC8">
        <w:rPr>
          <w:rFonts w:cs="Arial"/>
          <w:sz w:val="22"/>
          <w:szCs w:val="22"/>
          <w:lang w:val="en-US"/>
        </w:rPr>
        <w:t xml:space="preserve">All SAP parameters were </w:t>
      </w:r>
      <w:r w:rsidRPr="008B2CC8">
        <w:rPr>
          <w:rFonts w:cs="Arial"/>
          <w:color w:val="000000" w:themeColor="text1"/>
          <w:sz w:val="22"/>
          <w:szCs w:val="22"/>
          <w:lang w:val="en-US"/>
        </w:rPr>
        <w:t xml:space="preserve">significantly worse in VKHD patients than in normal controls. </w:t>
      </w:r>
      <w:r w:rsidR="00A97F8E" w:rsidRPr="008B2CC8">
        <w:rPr>
          <w:rFonts w:cs="Arial"/>
          <w:color w:val="000000" w:themeColor="text1"/>
          <w:sz w:val="22"/>
          <w:szCs w:val="22"/>
          <w:lang w:val="en-US"/>
        </w:rPr>
        <w:t>Main results were: m</w:t>
      </w:r>
      <w:r w:rsidRPr="008B2CC8">
        <w:rPr>
          <w:rFonts w:cs="Arial"/>
          <w:color w:val="000000" w:themeColor="text1"/>
          <w:sz w:val="22"/>
          <w:szCs w:val="22"/>
          <w:lang w:val="en-US"/>
        </w:rPr>
        <w:t>ean MS (dB) value</w:t>
      </w:r>
      <w:r w:rsidR="00A97F8E" w:rsidRPr="008B2CC8">
        <w:rPr>
          <w:rFonts w:cs="Arial"/>
          <w:color w:val="000000" w:themeColor="text1"/>
          <w:sz w:val="22"/>
          <w:szCs w:val="22"/>
          <w:lang w:val="en-US"/>
        </w:rPr>
        <w:t>,</w:t>
      </w:r>
      <w:r w:rsidRPr="008B2CC8">
        <w:rPr>
          <w:rFonts w:cs="Arial"/>
          <w:color w:val="000000" w:themeColor="text1"/>
          <w:sz w:val="22"/>
          <w:szCs w:val="22"/>
          <w:lang w:val="en-US"/>
        </w:rPr>
        <w:t xml:space="preserve"> 26.4±4.7 </w:t>
      </w:r>
      <w:r w:rsidR="00A97F8E" w:rsidRPr="008B2CC8">
        <w:rPr>
          <w:rFonts w:cs="Arial"/>
          <w:i/>
          <w:color w:val="000000" w:themeColor="text1"/>
          <w:sz w:val="22"/>
          <w:szCs w:val="22"/>
          <w:lang w:val="en-US"/>
        </w:rPr>
        <w:t>versus</w:t>
      </w:r>
      <w:r w:rsidR="00A97F8E" w:rsidRPr="008B2CC8">
        <w:rPr>
          <w:rFonts w:cs="Arial"/>
          <w:color w:val="000000" w:themeColor="text1"/>
          <w:sz w:val="22"/>
          <w:szCs w:val="22"/>
          <w:lang w:val="en-US"/>
        </w:rPr>
        <w:t xml:space="preserve"> </w:t>
      </w:r>
      <w:r w:rsidRPr="008B2CC8">
        <w:rPr>
          <w:rFonts w:cs="Arial"/>
          <w:color w:val="000000" w:themeColor="text1"/>
          <w:sz w:val="22"/>
          <w:szCs w:val="22"/>
          <w:lang w:val="en-US"/>
        </w:rPr>
        <w:t>29.6±1.4 (p=0.001)</w:t>
      </w:r>
      <w:r w:rsidR="00A97F8E" w:rsidRPr="008B2CC8">
        <w:rPr>
          <w:rFonts w:cs="Arial"/>
          <w:color w:val="000000" w:themeColor="text1"/>
          <w:sz w:val="22"/>
          <w:szCs w:val="22"/>
          <w:lang w:val="en-US"/>
        </w:rPr>
        <w:t>;</w:t>
      </w:r>
      <w:r w:rsidRPr="008B2CC8">
        <w:rPr>
          <w:rFonts w:cs="Arial"/>
          <w:color w:val="000000" w:themeColor="text1"/>
          <w:sz w:val="22"/>
          <w:szCs w:val="22"/>
          <w:lang w:val="en-US"/>
        </w:rPr>
        <w:t xml:space="preserve"> mean CS (dB) value</w:t>
      </w:r>
      <w:r w:rsidR="00A97F8E"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30.1±3.9 </w:t>
      </w:r>
      <w:r w:rsidR="00A97F8E" w:rsidRPr="008B2CC8">
        <w:rPr>
          <w:rFonts w:cs="Arial"/>
          <w:i/>
          <w:color w:val="000000" w:themeColor="text1"/>
          <w:sz w:val="22"/>
          <w:szCs w:val="22"/>
          <w:lang w:val="en-US"/>
        </w:rPr>
        <w:t>versus</w:t>
      </w:r>
      <w:r w:rsidRPr="008B2CC8">
        <w:rPr>
          <w:rFonts w:cs="Arial"/>
          <w:color w:val="000000" w:themeColor="text1"/>
          <w:sz w:val="22"/>
          <w:szCs w:val="22"/>
          <w:lang w:val="en-US"/>
        </w:rPr>
        <w:t xml:space="preserve"> 32.3±1.2 (p=0.006); mean fovea (dB) value</w:t>
      </w:r>
      <w:r w:rsidR="00A97F8E"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32.8±5.1 </w:t>
      </w:r>
      <w:r w:rsidR="00A97F8E" w:rsidRPr="008B2CC8">
        <w:rPr>
          <w:rFonts w:cs="Arial"/>
          <w:i/>
          <w:color w:val="000000" w:themeColor="text1"/>
          <w:sz w:val="22"/>
          <w:szCs w:val="22"/>
          <w:lang w:val="en-US"/>
        </w:rPr>
        <w:t xml:space="preserve">versus </w:t>
      </w:r>
      <w:r w:rsidRPr="008B2CC8">
        <w:rPr>
          <w:rFonts w:cs="Arial"/>
          <w:color w:val="000000" w:themeColor="text1"/>
          <w:sz w:val="22"/>
          <w:szCs w:val="22"/>
          <w:lang w:val="en-US"/>
        </w:rPr>
        <w:t>35.8±2.2</w:t>
      </w:r>
      <w:r w:rsidR="00A97F8E" w:rsidRPr="008B2CC8">
        <w:rPr>
          <w:rFonts w:cs="Arial"/>
          <w:color w:val="000000" w:themeColor="text1"/>
          <w:sz w:val="22"/>
          <w:szCs w:val="22"/>
          <w:lang w:val="en-US"/>
        </w:rPr>
        <w:t xml:space="preserve"> </w:t>
      </w:r>
      <w:r w:rsidRPr="008B2CC8">
        <w:rPr>
          <w:rFonts w:cs="Arial"/>
          <w:color w:val="000000" w:themeColor="text1"/>
          <w:sz w:val="22"/>
          <w:szCs w:val="22"/>
          <w:lang w:val="en-US"/>
        </w:rPr>
        <w:t>(p=0.002); mean VFI (dB) value</w:t>
      </w:r>
      <w:r w:rsidR="00A97F8E" w:rsidRPr="008B2CC8">
        <w:rPr>
          <w:rFonts w:cs="Arial"/>
          <w:color w:val="000000" w:themeColor="text1"/>
          <w:sz w:val="22"/>
          <w:szCs w:val="22"/>
          <w:lang w:val="en-US"/>
        </w:rPr>
        <w:t>,</w:t>
      </w:r>
      <w:r w:rsidRPr="008B2CC8">
        <w:rPr>
          <w:rFonts w:cs="Arial"/>
          <w:color w:val="000000" w:themeColor="text1"/>
          <w:sz w:val="22"/>
          <w:szCs w:val="22"/>
          <w:lang w:val="en-US"/>
        </w:rPr>
        <w:t xml:space="preserve"> 90.9±12.9 </w:t>
      </w:r>
      <w:r w:rsidR="00A97F8E" w:rsidRPr="008B2CC8">
        <w:rPr>
          <w:rFonts w:cs="Arial"/>
          <w:i/>
          <w:color w:val="000000" w:themeColor="text1"/>
          <w:sz w:val="22"/>
          <w:szCs w:val="22"/>
          <w:lang w:val="en-US"/>
        </w:rPr>
        <w:t>versus</w:t>
      </w:r>
      <w:r w:rsidRPr="008B2CC8">
        <w:rPr>
          <w:rFonts w:cs="Arial"/>
          <w:color w:val="000000" w:themeColor="text1"/>
          <w:sz w:val="22"/>
          <w:szCs w:val="22"/>
          <w:lang w:val="en-US"/>
        </w:rPr>
        <w:t xml:space="preserve"> 98.7±1.2 (p&lt;0.001); mean MD (dB) value</w:t>
      </w:r>
      <w:r w:rsidR="00A97F8E" w:rsidRPr="008B2CC8">
        <w:rPr>
          <w:rFonts w:cs="Arial"/>
          <w:color w:val="000000" w:themeColor="text1"/>
          <w:sz w:val="22"/>
          <w:szCs w:val="22"/>
          <w:lang w:val="en-US"/>
        </w:rPr>
        <w:t>,</w:t>
      </w:r>
      <w:r w:rsidRPr="008B2CC8">
        <w:rPr>
          <w:rFonts w:cs="Arial"/>
          <w:color w:val="000000" w:themeColor="text1"/>
          <w:sz w:val="22"/>
          <w:szCs w:val="22"/>
          <w:lang w:val="en-US"/>
        </w:rPr>
        <w:t xml:space="preserve"> -5.1±4.6 </w:t>
      </w:r>
      <w:r w:rsidR="00A97F8E" w:rsidRPr="008B2CC8">
        <w:rPr>
          <w:rFonts w:cs="Arial"/>
          <w:i/>
          <w:color w:val="000000" w:themeColor="text1"/>
          <w:sz w:val="22"/>
          <w:szCs w:val="22"/>
          <w:lang w:val="en-US"/>
        </w:rPr>
        <w:t>versus</w:t>
      </w:r>
      <w:r w:rsidRPr="008B2CC8">
        <w:rPr>
          <w:rFonts w:cs="Arial"/>
          <w:color w:val="000000" w:themeColor="text1"/>
          <w:sz w:val="22"/>
          <w:szCs w:val="22"/>
          <w:lang w:val="en-US"/>
        </w:rPr>
        <w:t xml:space="preserve"> -1.5±1.3 (p&lt;0.001) and mean PSD (dB) value</w:t>
      </w:r>
      <w:r w:rsidR="00A97F8E" w:rsidRPr="008B2CC8">
        <w:rPr>
          <w:rFonts w:cs="Arial"/>
          <w:color w:val="000000" w:themeColor="text1"/>
          <w:sz w:val="22"/>
          <w:szCs w:val="22"/>
          <w:lang w:val="en-US"/>
        </w:rPr>
        <w:t>,</w:t>
      </w:r>
      <w:r w:rsidRPr="008B2CC8">
        <w:rPr>
          <w:rFonts w:cs="Arial"/>
          <w:color w:val="000000" w:themeColor="text1"/>
          <w:sz w:val="22"/>
          <w:szCs w:val="22"/>
          <w:lang w:val="en-US"/>
        </w:rPr>
        <w:t xml:space="preserve"> 3.7±2.9 </w:t>
      </w:r>
      <w:r w:rsidR="00A97F8E" w:rsidRPr="008B2CC8">
        <w:rPr>
          <w:rFonts w:cs="Arial"/>
          <w:i/>
          <w:color w:val="000000" w:themeColor="text1"/>
          <w:sz w:val="22"/>
          <w:szCs w:val="22"/>
          <w:lang w:val="en-US"/>
        </w:rPr>
        <w:t>versus</w:t>
      </w:r>
      <w:r w:rsidRPr="008B2CC8">
        <w:rPr>
          <w:rFonts w:cs="Arial"/>
          <w:color w:val="000000" w:themeColor="text1"/>
          <w:sz w:val="22"/>
          <w:szCs w:val="22"/>
          <w:lang w:val="en-US"/>
        </w:rPr>
        <w:t xml:space="preserve"> 1.6±0.4 (p&lt;0.001)</w:t>
      </w:r>
      <w:r w:rsidR="00A97F8E" w:rsidRPr="008B2CC8">
        <w:rPr>
          <w:rFonts w:cs="Arial"/>
          <w:color w:val="000000" w:themeColor="text1"/>
          <w:sz w:val="22"/>
          <w:szCs w:val="22"/>
          <w:lang w:val="en-US"/>
        </w:rPr>
        <w:t>, for patients and controls, respectively</w:t>
      </w:r>
      <w:r w:rsidRPr="008B2CC8">
        <w:rPr>
          <w:rFonts w:cs="Arial"/>
          <w:color w:val="000000" w:themeColor="text1"/>
          <w:sz w:val="22"/>
          <w:szCs w:val="22"/>
          <w:lang w:val="en-US"/>
        </w:rPr>
        <w:t xml:space="preserve">. </w:t>
      </w:r>
    </w:p>
    <w:p w14:paraId="224C2A04" w14:textId="77777777" w:rsidR="00A55B63" w:rsidRPr="008B2CC8" w:rsidRDefault="00A55B63" w:rsidP="00A55B63">
      <w:pPr>
        <w:spacing w:line="360" w:lineRule="auto"/>
        <w:contextualSpacing/>
        <w:rPr>
          <w:rFonts w:cs="Arial"/>
          <w:color w:val="000000" w:themeColor="text1"/>
          <w:sz w:val="22"/>
          <w:szCs w:val="22"/>
          <w:lang w:val="en-US"/>
        </w:rPr>
      </w:pPr>
    </w:p>
    <w:p w14:paraId="5EF4A688" w14:textId="77777777" w:rsidR="00A55B63" w:rsidRPr="008B2CC8" w:rsidRDefault="00A55B63" w:rsidP="00A55B63">
      <w:pPr>
        <w:spacing w:line="360" w:lineRule="auto"/>
        <w:ind w:firstLine="284"/>
        <w:contextualSpacing/>
        <w:rPr>
          <w:rFonts w:cs="Arial"/>
          <w:i/>
          <w:iCs/>
          <w:sz w:val="22"/>
          <w:szCs w:val="22"/>
          <w:lang w:val="en-US"/>
        </w:rPr>
      </w:pPr>
      <w:r w:rsidRPr="008B2CC8">
        <w:rPr>
          <w:rFonts w:cs="Arial"/>
          <w:i/>
          <w:iCs/>
          <w:sz w:val="22"/>
          <w:szCs w:val="22"/>
          <w:lang w:val="en-US"/>
        </w:rPr>
        <w:t>OCT measurements</w:t>
      </w:r>
    </w:p>
    <w:p w14:paraId="6AA58965" w14:textId="44AF9A1D" w:rsidR="00A55B63" w:rsidRPr="008B2CC8" w:rsidRDefault="00A55B63" w:rsidP="00A55B63">
      <w:pPr>
        <w:spacing w:line="360" w:lineRule="auto"/>
        <w:ind w:firstLine="284"/>
        <w:contextualSpacing/>
        <w:rPr>
          <w:rFonts w:cs="Arial"/>
          <w:bCs/>
          <w:sz w:val="22"/>
          <w:szCs w:val="22"/>
          <w:lang w:val="en-US"/>
        </w:rPr>
      </w:pPr>
      <w:r w:rsidRPr="008B2CC8">
        <w:rPr>
          <w:rFonts w:cs="Arial"/>
          <w:sz w:val="22"/>
          <w:szCs w:val="22"/>
          <w:lang w:val="en-US"/>
        </w:rPr>
        <w:t xml:space="preserve">Twenty eyes (56%) of patients had an intact </w:t>
      </w:r>
      <w:r w:rsidR="008B2CC8" w:rsidRPr="008B2CC8">
        <w:rPr>
          <w:sz w:val="22"/>
          <w:szCs w:val="22"/>
          <w:lang w:val="en-US"/>
        </w:rPr>
        <w:t>ellipsoid zone</w:t>
      </w:r>
      <w:r w:rsidR="008B2CC8" w:rsidRPr="008B2CC8">
        <w:rPr>
          <w:rFonts w:cs="Arial"/>
          <w:color w:val="000000" w:themeColor="text1"/>
          <w:sz w:val="22"/>
          <w:szCs w:val="22"/>
          <w:lang w:val="en-US"/>
        </w:rPr>
        <w:t xml:space="preserve"> line</w:t>
      </w:r>
      <w:r w:rsidR="008B2CC8" w:rsidRPr="008B2CC8">
        <w:rPr>
          <w:rFonts w:cs="Arial"/>
          <w:color w:val="000000" w:themeColor="text1"/>
          <w:sz w:val="22"/>
          <w:szCs w:val="22"/>
          <w:lang w:val="en-US"/>
        </w:rPr>
        <w:t xml:space="preserve"> </w:t>
      </w:r>
      <w:r w:rsidRPr="008B2CC8">
        <w:rPr>
          <w:rFonts w:cs="Arial"/>
          <w:sz w:val="22"/>
          <w:szCs w:val="22"/>
          <w:lang w:val="en-US"/>
        </w:rPr>
        <w:t xml:space="preserve">(group 1), 5 eyes (14%) had focal disruption of the </w:t>
      </w:r>
      <w:r w:rsidR="008B2CC8" w:rsidRPr="008B2CC8">
        <w:rPr>
          <w:sz w:val="22"/>
          <w:szCs w:val="22"/>
          <w:lang w:val="en-US"/>
        </w:rPr>
        <w:t>ellipsoid zone</w:t>
      </w:r>
      <w:r w:rsidR="008B2CC8" w:rsidRPr="008B2CC8">
        <w:rPr>
          <w:rFonts w:cs="Arial"/>
          <w:color w:val="000000" w:themeColor="text1"/>
          <w:sz w:val="22"/>
          <w:szCs w:val="22"/>
          <w:lang w:val="en-US"/>
        </w:rPr>
        <w:t xml:space="preserve"> line </w:t>
      </w:r>
      <w:r w:rsidRPr="008B2CC8">
        <w:rPr>
          <w:rFonts w:cs="Arial"/>
          <w:sz w:val="22"/>
          <w:szCs w:val="22"/>
          <w:lang w:val="en-US"/>
        </w:rPr>
        <w:t>of 500</w:t>
      </w:r>
      <w:r w:rsidRPr="008B2CC8">
        <w:rPr>
          <w:rFonts w:cs="Arial"/>
          <w:bCs/>
          <w:sz w:val="22"/>
          <w:szCs w:val="22"/>
          <w:lang w:val="en-US"/>
        </w:rPr>
        <w:t>µm</w:t>
      </w:r>
      <w:r w:rsidRPr="008B2CC8">
        <w:rPr>
          <w:rFonts w:cs="Arial"/>
          <w:sz w:val="22"/>
          <w:szCs w:val="22"/>
          <w:lang w:val="en-US"/>
        </w:rPr>
        <w:t xml:space="preserve"> or less (group 2) and 11 eyes (30%) had focal disruption of the </w:t>
      </w:r>
      <w:r w:rsidR="008B2CC8" w:rsidRPr="008B2CC8">
        <w:rPr>
          <w:sz w:val="22"/>
          <w:szCs w:val="22"/>
          <w:lang w:val="en-US"/>
        </w:rPr>
        <w:t>ellipsoid zone</w:t>
      </w:r>
      <w:r w:rsidR="008B2CC8" w:rsidRPr="008B2CC8">
        <w:rPr>
          <w:rFonts w:cs="Arial"/>
          <w:color w:val="000000" w:themeColor="text1"/>
          <w:sz w:val="22"/>
          <w:szCs w:val="22"/>
          <w:lang w:val="en-US"/>
        </w:rPr>
        <w:t xml:space="preserve"> line </w:t>
      </w:r>
      <w:r w:rsidRPr="008B2CC8">
        <w:rPr>
          <w:rFonts w:cs="Arial"/>
          <w:sz w:val="22"/>
          <w:szCs w:val="22"/>
          <w:lang w:val="en-US"/>
        </w:rPr>
        <w:t>greater than 500</w:t>
      </w:r>
      <w:r w:rsidRPr="008B2CC8">
        <w:rPr>
          <w:rFonts w:cs="Arial"/>
          <w:bCs/>
          <w:sz w:val="22"/>
          <w:szCs w:val="22"/>
          <w:lang w:val="en-US"/>
        </w:rPr>
        <w:t>µm (group 3). Mean central retinal thickness was 297.0</w:t>
      </w:r>
      <w:r w:rsidRPr="008B2CC8">
        <w:rPr>
          <w:rFonts w:cs="Arial"/>
          <w:bCs/>
          <w:sz w:val="22"/>
          <w:szCs w:val="22"/>
          <w:shd w:val="clear" w:color="auto" w:fill="FFFFFF"/>
          <w:lang w:val="en-US"/>
        </w:rPr>
        <w:t>±21.4</w:t>
      </w:r>
      <w:r w:rsidRPr="008B2CC8">
        <w:rPr>
          <w:rFonts w:cs="Arial"/>
          <w:bCs/>
          <w:sz w:val="22"/>
          <w:szCs w:val="22"/>
          <w:lang w:val="en-US"/>
        </w:rPr>
        <w:t>µm</w:t>
      </w:r>
      <w:r w:rsidRPr="008B2CC8">
        <w:rPr>
          <w:rFonts w:cs="Arial"/>
          <w:bCs/>
          <w:sz w:val="22"/>
          <w:szCs w:val="22"/>
          <w:shd w:val="clear" w:color="auto" w:fill="FFFFFF"/>
          <w:lang w:val="en-US"/>
        </w:rPr>
        <w:t>; mean foveal retinal thickness was 248.3±37.8</w:t>
      </w:r>
      <w:r w:rsidRPr="008B2CC8">
        <w:rPr>
          <w:rFonts w:cs="Arial"/>
          <w:bCs/>
          <w:sz w:val="22"/>
          <w:szCs w:val="22"/>
          <w:lang w:val="en-US"/>
        </w:rPr>
        <w:t>µm</w:t>
      </w:r>
      <w:r w:rsidRPr="008B2CC8">
        <w:rPr>
          <w:rFonts w:cs="Arial"/>
          <w:bCs/>
          <w:sz w:val="22"/>
          <w:szCs w:val="22"/>
          <w:shd w:val="clear" w:color="auto" w:fill="FFFFFF"/>
          <w:lang w:val="en-US"/>
        </w:rPr>
        <w:t>; mean central macular volume was 8.5±0.5</w:t>
      </w:r>
      <w:r w:rsidRPr="008B2CC8">
        <w:rPr>
          <w:rFonts w:cs="Arial"/>
          <w:bCs/>
          <w:sz w:val="22"/>
          <w:szCs w:val="22"/>
          <w:lang w:val="en-US"/>
        </w:rPr>
        <w:t>mm</w:t>
      </w:r>
      <w:r w:rsidRPr="008B2CC8">
        <w:rPr>
          <w:rFonts w:cs="Arial"/>
          <w:bCs/>
          <w:sz w:val="22"/>
          <w:szCs w:val="22"/>
          <w:vertAlign w:val="superscript"/>
          <w:lang w:val="en-US"/>
        </w:rPr>
        <w:t>2</w:t>
      </w:r>
      <w:r w:rsidRPr="008B2CC8">
        <w:rPr>
          <w:rFonts w:cs="Arial"/>
          <w:bCs/>
          <w:sz w:val="22"/>
          <w:szCs w:val="22"/>
          <w:shd w:val="clear" w:color="auto" w:fill="FFFFFF"/>
          <w:lang w:val="en-US"/>
        </w:rPr>
        <w:t xml:space="preserve"> and subfoveal choroidal thickness was 329.5±99.5</w:t>
      </w:r>
      <w:r w:rsidRPr="008B2CC8">
        <w:rPr>
          <w:rFonts w:cs="Arial"/>
          <w:bCs/>
          <w:sz w:val="22"/>
          <w:szCs w:val="22"/>
          <w:lang w:val="en-US"/>
        </w:rPr>
        <w:t>µm</w:t>
      </w:r>
      <w:r w:rsidRPr="008B2CC8">
        <w:rPr>
          <w:rFonts w:cs="Arial"/>
          <w:bCs/>
          <w:sz w:val="22"/>
          <w:szCs w:val="22"/>
          <w:shd w:val="clear" w:color="auto" w:fill="FFFFFF"/>
          <w:lang w:val="en-US"/>
        </w:rPr>
        <w:t>. The differences between these values among the three groups were not significant.</w:t>
      </w:r>
    </w:p>
    <w:p w14:paraId="6B94C74C" w14:textId="77777777" w:rsidR="00A55B63" w:rsidRPr="008B2CC8" w:rsidRDefault="00A55B63" w:rsidP="00A55B63">
      <w:pPr>
        <w:spacing w:line="360" w:lineRule="auto"/>
        <w:ind w:firstLine="284"/>
        <w:contextualSpacing/>
        <w:rPr>
          <w:rFonts w:cs="Arial"/>
          <w:bCs/>
          <w:color w:val="000000" w:themeColor="text1"/>
          <w:sz w:val="22"/>
          <w:szCs w:val="22"/>
          <w:shd w:val="clear" w:color="auto" w:fill="FFFFFF"/>
          <w:lang w:val="en-US"/>
        </w:rPr>
      </w:pPr>
      <w:r w:rsidRPr="008B2CC8">
        <w:rPr>
          <w:rFonts w:cs="Arial"/>
          <w:bCs/>
          <w:sz w:val="22"/>
          <w:szCs w:val="22"/>
          <w:shd w:val="clear" w:color="auto" w:fill="FFFFFF"/>
          <w:lang w:val="en-US"/>
        </w:rPr>
        <w:t xml:space="preserve">Intraretinal </w:t>
      </w:r>
      <w:r w:rsidRPr="008B2CC8">
        <w:rPr>
          <w:rFonts w:cs="Arial"/>
          <w:bCs/>
          <w:color w:val="000000" w:themeColor="text1"/>
          <w:sz w:val="22"/>
          <w:szCs w:val="22"/>
          <w:shd w:val="clear" w:color="auto" w:fill="FFFFFF"/>
          <w:lang w:val="en-US"/>
        </w:rPr>
        <w:t>fluid was present in 2 eyes (7%) and subretinal fluid in one eye (3.5%) of patients. Retinal pigment epithelium (RPE) hyperplasia/hypertropia was present in 8 eyes (27%), while RPE atrophy was seen in 2 eyes (7%).</w:t>
      </w:r>
    </w:p>
    <w:p w14:paraId="45AEA61F" w14:textId="77777777" w:rsidR="00A55B63" w:rsidRPr="008B2CC8" w:rsidRDefault="00A55B63" w:rsidP="00A55B63">
      <w:pPr>
        <w:spacing w:line="360" w:lineRule="auto"/>
        <w:contextualSpacing/>
        <w:rPr>
          <w:rFonts w:cs="Arial"/>
          <w:color w:val="FF0000"/>
          <w:sz w:val="22"/>
          <w:szCs w:val="22"/>
          <w:lang w:val="en-US"/>
        </w:rPr>
      </w:pPr>
    </w:p>
    <w:p w14:paraId="5827C24F" w14:textId="766F4782" w:rsidR="00A55B63" w:rsidRPr="008B2CC8" w:rsidRDefault="00A55B63" w:rsidP="00A55B63">
      <w:pPr>
        <w:spacing w:line="360" w:lineRule="auto"/>
        <w:ind w:firstLine="284"/>
        <w:contextualSpacing/>
        <w:rPr>
          <w:rFonts w:cs="Arial"/>
          <w:color w:val="000000" w:themeColor="text1"/>
          <w:sz w:val="22"/>
          <w:szCs w:val="22"/>
          <w:lang w:val="en-US"/>
        </w:rPr>
      </w:pPr>
      <w:r w:rsidRPr="008B2CC8">
        <w:rPr>
          <w:rFonts w:cs="Arial"/>
          <w:i/>
          <w:iCs/>
          <w:color w:val="000000" w:themeColor="text1"/>
          <w:sz w:val="22"/>
          <w:szCs w:val="22"/>
          <w:lang w:val="en-US"/>
        </w:rPr>
        <w:t xml:space="preserve">Associations between mfERG and SAP measurements and </w:t>
      </w:r>
      <w:r w:rsidR="008B2CC8" w:rsidRPr="008B2CC8">
        <w:rPr>
          <w:i/>
          <w:iCs/>
          <w:sz w:val="22"/>
          <w:szCs w:val="22"/>
          <w:lang w:val="en-US"/>
        </w:rPr>
        <w:t>ellipsoid zone</w:t>
      </w:r>
      <w:r w:rsidR="008B2CC8" w:rsidRPr="008B2CC8">
        <w:rPr>
          <w:rFonts w:cs="Arial"/>
          <w:i/>
          <w:iCs/>
          <w:color w:val="000000" w:themeColor="text1"/>
          <w:sz w:val="22"/>
          <w:szCs w:val="22"/>
          <w:lang w:val="en-US"/>
        </w:rPr>
        <w:t xml:space="preserve"> line</w:t>
      </w:r>
      <w:r w:rsidR="008B2CC8" w:rsidRPr="008B2CC8">
        <w:rPr>
          <w:rFonts w:cs="Arial"/>
          <w:color w:val="000000" w:themeColor="text1"/>
          <w:sz w:val="22"/>
          <w:szCs w:val="22"/>
          <w:lang w:val="en-US"/>
        </w:rPr>
        <w:t xml:space="preserve"> </w:t>
      </w:r>
      <w:r w:rsidRPr="008B2CC8">
        <w:rPr>
          <w:rFonts w:cs="Arial"/>
          <w:i/>
          <w:iCs/>
          <w:color w:val="000000" w:themeColor="text1"/>
          <w:sz w:val="22"/>
          <w:szCs w:val="22"/>
          <w:lang w:val="en-US"/>
        </w:rPr>
        <w:t xml:space="preserve">integrity on OCT </w:t>
      </w:r>
      <w:r w:rsidRPr="008B2CC8">
        <w:rPr>
          <w:rFonts w:cs="Arial"/>
          <w:color w:val="000000" w:themeColor="text1"/>
          <w:sz w:val="22"/>
          <w:szCs w:val="22"/>
          <w:lang w:val="en-US"/>
        </w:rPr>
        <w:t>(</w:t>
      </w:r>
      <w:r w:rsidRPr="008B2CC8">
        <w:rPr>
          <w:rFonts w:cs="Arial"/>
          <w:b/>
          <w:bCs/>
          <w:color w:val="000000" w:themeColor="text1"/>
          <w:sz w:val="22"/>
          <w:szCs w:val="22"/>
          <w:lang w:val="en-US"/>
        </w:rPr>
        <w:t>Figure 1</w:t>
      </w:r>
      <w:r w:rsidRPr="008B2CC8">
        <w:rPr>
          <w:rFonts w:cs="Arial"/>
          <w:color w:val="000000" w:themeColor="text1"/>
          <w:sz w:val="22"/>
          <w:szCs w:val="22"/>
          <w:lang w:val="en-US"/>
        </w:rPr>
        <w:t>)</w:t>
      </w:r>
    </w:p>
    <w:p w14:paraId="085642BE" w14:textId="5B7AB27D" w:rsidR="00A55B63" w:rsidRPr="008B2CC8" w:rsidRDefault="00A55B63" w:rsidP="00A55B63">
      <w:pPr>
        <w:spacing w:line="360" w:lineRule="auto"/>
        <w:ind w:firstLine="284"/>
        <w:contextualSpacing/>
        <w:rPr>
          <w:rFonts w:cs="Arial"/>
          <w:color w:val="000000" w:themeColor="text1"/>
          <w:sz w:val="22"/>
          <w:szCs w:val="22"/>
          <w:lang w:val="en-US"/>
        </w:rPr>
      </w:pPr>
      <w:r w:rsidRPr="008B2CC8">
        <w:rPr>
          <w:rFonts w:cs="Arial"/>
          <w:color w:val="000000" w:themeColor="text1"/>
          <w:sz w:val="22"/>
          <w:szCs w:val="22"/>
          <w:lang w:val="en-US"/>
        </w:rPr>
        <w:t xml:space="preserve">There were no significant differences between the three groups based on </w:t>
      </w:r>
      <w:r w:rsidR="00DE034E">
        <w:rPr>
          <w:rFonts w:cs="Arial"/>
          <w:color w:val="000000" w:themeColor="text1"/>
          <w:sz w:val="22"/>
          <w:szCs w:val="22"/>
          <w:lang w:val="en-US"/>
        </w:rPr>
        <w:t xml:space="preserve">ellipsoid zone line </w:t>
      </w:r>
      <w:r w:rsidRPr="008B2CC8">
        <w:rPr>
          <w:rFonts w:cs="Arial"/>
          <w:color w:val="000000" w:themeColor="text1"/>
          <w:sz w:val="22"/>
          <w:szCs w:val="22"/>
          <w:lang w:val="en-US"/>
        </w:rPr>
        <w:t xml:space="preserve">integrity concerning age (p&gt;0.999) and visual acuity (p=0.294). </w:t>
      </w:r>
    </w:p>
    <w:p w14:paraId="704B3808" w14:textId="77777777" w:rsidR="00A55B63" w:rsidRPr="008B2CC8" w:rsidRDefault="00A55B63" w:rsidP="00A55B63">
      <w:pPr>
        <w:spacing w:line="360" w:lineRule="auto"/>
        <w:ind w:firstLine="284"/>
        <w:contextualSpacing/>
        <w:rPr>
          <w:rFonts w:cs="Arial"/>
          <w:color w:val="000000" w:themeColor="text1"/>
          <w:sz w:val="22"/>
          <w:szCs w:val="22"/>
          <w:lang w:val="en-US"/>
        </w:rPr>
      </w:pPr>
      <w:r w:rsidRPr="008B2CC8">
        <w:rPr>
          <w:rFonts w:cs="Arial"/>
          <w:color w:val="000000" w:themeColor="text1"/>
          <w:sz w:val="22"/>
          <w:szCs w:val="22"/>
          <w:lang w:val="en-US"/>
        </w:rPr>
        <w:t>Regarding mfERG results, the mean N1 amplitude (</w:t>
      </w:r>
      <w:r w:rsidRPr="008B2CC8">
        <w:rPr>
          <w:rFonts w:cs="Arial"/>
          <w:bCs/>
          <w:color w:val="000000"/>
          <w:sz w:val="22"/>
          <w:szCs w:val="22"/>
          <w:lang w:val="en-US"/>
        </w:rPr>
        <w:t>µV/deg</w:t>
      </w:r>
      <w:r w:rsidRPr="008B2CC8">
        <w:rPr>
          <w:rFonts w:cs="Arial"/>
          <w:bCs/>
          <w:color w:val="000000"/>
          <w:sz w:val="22"/>
          <w:szCs w:val="22"/>
          <w:vertAlign w:val="superscript"/>
          <w:lang w:val="en-US"/>
        </w:rPr>
        <w:t>2</w:t>
      </w:r>
      <w:r w:rsidRPr="008B2CC8">
        <w:rPr>
          <w:rFonts w:cs="Arial"/>
          <w:color w:val="000000" w:themeColor="text1"/>
          <w:sz w:val="22"/>
          <w:szCs w:val="22"/>
          <w:lang w:val="en-US"/>
        </w:rPr>
        <w:t>) value was 10.6±3.4 in Group 1, 7.8±1.5 in Group 2 and 7.8±1.6 in Group 3. There was a significant difference among the three groups (p=0.002). After multiple comparison post hoc test (Bonferroni</w:t>
      </w:r>
      <w:bookmarkStart w:id="0" w:name="_GoBack"/>
      <w:bookmarkEnd w:id="0"/>
      <w:r w:rsidRPr="008B2CC8">
        <w:rPr>
          <w:rFonts w:cs="Arial"/>
          <w:color w:val="000000" w:themeColor="text1"/>
          <w:sz w:val="22"/>
          <w:szCs w:val="22"/>
          <w:lang w:val="en-US"/>
        </w:rPr>
        <w:t xml:space="preserve"> correction for multiple comparison) significance was observed between groups 1 and 2 (p=0.001). The mean P1 amplitude (</w:t>
      </w:r>
      <w:r w:rsidRPr="008B2CC8">
        <w:rPr>
          <w:rFonts w:cs="Arial"/>
          <w:bCs/>
          <w:color w:val="000000"/>
          <w:sz w:val="22"/>
          <w:szCs w:val="22"/>
          <w:lang w:val="en-US"/>
        </w:rPr>
        <w:t>µV/deg</w:t>
      </w:r>
      <w:r w:rsidRPr="008B2CC8">
        <w:rPr>
          <w:rFonts w:cs="Arial"/>
          <w:bCs/>
          <w:color w:val="000000"/>
          <w:sz w:val="22"/>
          <w:szCs w:val="22"/>
          <w:vertAlign w:val="superscript"/>
          <w:lang w:val="en-US"/>
        </w:rPr>
        <w:t>2</w:t>
      </w:r>
      <w:r w:rsidRPr="008B2CC8">
        <w:rPr>
          <w:rFonts w:cs="Arial"/>
          <w:color w:val="000000" w:themeColor="text1"/>
          <w:sz w:val="22"/>
          <w:szCs w:val="22"/>
          <w:lang w:val="en-US"/>
        </w:rPr>
        <w:t>) value was 39.9±11.3 in Group 1, 32.5±8.5 in Group 2 and 27.7±6.1 in Group 3. There was a significant difference among the three groups (p=0.050). After multiple comparison post hoc test (Bonferroni correction for multiple comparison) significance was observed between groups 1 and 2 (p=0.043). Concerning mean peak time of N1 and P1, there were no significant differences among the groups.</w:t>
      </w:r>
    </w:p>
    <w:p w14:paraId="021F11CB" w14:textId="7862464A" w:rsidR="00A55B63" w:rsidRPr="008B2CC8" w:rsidRDefault="00A55B63" w:rsidP="00BE4CF5">
      <w:pPr>
        <w:spacing w:line="360" w:lineRule="auto"/>
        <w:ind w:firstLine="284"/>
        <w:contextualSpacing/>
        <w:rPr>
          <w:rFonts w:cs="Arial"/>
          <w:color w:val="000000" w:themeColor="text1"/>
          <w:sz w:val="22"/>
          <w:szCs w:val="22"/>
          <w:lang w:val="en-US"/>
        </w:rPr>
      </w:pPr>
      <w:r w:rsidRPr="008B2CC8">
        <w:rPr>
          <w:rFonts w:cs="Arial"/>
          <w:color w:val="000000" w:themeColor="text1"/>
          <w:sz w:val="22"/>
          <w:szCs w:val="22"/>
          <w:lang w:val="en-US"/>
        </w:rPr>
        <w:t xml:space="preserve">Regarding SAP results there were significant differences among the groups concerning CS (p=0.007), fovea value (p=0.045), MD value (p=0.014) and PSD value (p=0.011). After multiple comparison post hoc test (Bonferroni correction for multiple comparison) significance was observed between groups 1 and 3 for CS (p=0.005), fovea value (p=0.042) and MD value (p=0.018); for PSD value significance was observed between groups 1 and 2 (p=0.015). </w:t>
      </w:r>
    </w:p>
    <w:p w14:paraId="7CFA4B8B" w14:textId="77777777" w:rsidR="00A55B63" w:rsidRPr="008B2CC8" w:rsidRDefault="00A55B63" w:rsidP="00A55B63">
      <w:pPr>
        <w:spacing w:line="360" w:lineRule="auto"/>
        <w:ind w:firstLine="284"/>
        <w:contextualSpacing/>
        <w:rPr>
          <w:rFonts w:cs="Arial"/>
          <w:i/>
          <w:color w:val="000000" w:themeColor="text1"/>
          <w:sz w:val="22"/>
          <w:szCs w:val="22"/>
          <w:lang w:val="en-US"/>
        </w:rPr>
      </w:pPr>
      <w:r w:rsidRPr="008B2CC8">
        <w:rPr>
          <w:rFonts w:cs="Arial"/>
          <w:i/>
          <w:color w:val="000000" w:themeColor="text1"/>
          <w:sz w:val="22"/>
          <w:szCs w:val="22"/>
          <w:lang w:val="en-US"/>
        </w:rPr>
        <w:lastRenderedPageBreak/>
        <w:t>Associations between mfERG, SAP and foveal thickness</w:t>
      </w:r>
    </w:p>
    <w:p w14:paraId="2931198C" w14:textId="77777777" w:rsidR="00A55B63" w:rsidRPr="008B2CC8" w:rsidRDefault="00A55B63" w:rsidP="00A55B63">
      <w:pPr>
        <w:spacing w:line="360" w:lineRule="auto"/>
        <w:ind w:firstLine="284"/>
        <w:contextualSpacing/>
        <w:rPr>
          <w:rFonts w:cs="Arial"/>
          <w:color w:val="000000" w:themeColor="text1"/>
          <w:sz w:val="22"/>
          <w:szCs w:val="22"/>
          <w:lang w:val="en-US"/>
        </w:rPr>
      </w:pPr>
      <w:r w:rsidRPr="008B2CC8">
        <w:rPr>
          <w:rFonts w:cs="Arial"/>
          <w:color w:val="000000" w:themeColor="text1"/>
          <w:sz w:val="22"/>
          <w:szCs w:val="22"/>
          <w:lang w:val="en-US"/>
        </w:rPr>
        <w:t>Concerning associations between mfERG and SAP results, reduced P1 and N1 amplitudes were significantly associated with reduced MS (</w:t>
      </w:r>
      <w:r w:rsidRPr="008B2CC8">
        <w:rPr>
          <w:rFonts w:cs="Arial"/>
          <w:i/>
          <w:iCs/>
          <w:color w:val="000000" w:themeColor="text1"/>
          <w:sz w:val="22"/>
          <w:szCs w:val="22"/>
          <w:lang w:val="en-US"/>
        </w:rPr>
        <w:t>r</w:t>
      </w:r>
      <w:r w:rsidRPr="008B2CC8">
        <w:rPr>
          <w:rFonts w:cs="Arial"/>
          <w:color w:val="000000" w:themeColor="text1"/>
          <w:sz w:val="22"/>
          <w:szCs w:val="22"/>
          <w:lang w:val="en-US"/>
        </w:rPr>
        <w:t xml:space="preserve">=0.342 and </w:t>
      </w:r>
      <w:r w:rsidRPr="008B2CC8">
        <w:rPr>
          <w:rFonts w:cs="Arial"/>
          <w:i/>
          <w:iCs/>
          <w:color w:val="000000" w:themeColor="text1"/>
          <w:sz w:val="22"/>
          <w:szCs w:val="22"/>
          <w:lang w:val="en-US"/>
        </w:rPr>
        <w:t>r</w:t>
      </w:r>
      <w:r w:rsidRPr="008B2CC8">
        <w:rPr>
          <w:rFonts w:cs="Arial"/>
          <w:color w:val="000000" w:themeColor="text1"/>
          <w:sz w:val="22"/>
          <w:szCs w:val="22"/>
          <w:lang w:val="en-US"/>
        </w:rPr>
        <w:t>=0.381, p=0.041 and p=0.022, respectively) and increased P1 and N1 peak times were significantly associated with reduced MS (</w:t>
      </w:r>
      <w:r w:rsidRPr="008B2CC8">
        <w:rPr>
          <w:rFonts w:cs="Arial"/>
          <w:i/>
          <w:iCs/>
          <w:color w:val="000000" w:themeColor="text1"/>
          <w:sz w:val="22"/>
          <w:szCs w:val="22"/>
          <w:lang w:val="en-US"/>
        </w:rPr>
        <w:t>r</w:t>
      </w:r>
      <w:r w:rsidRPr="008B2CC8">
        <w:rPr>
          <w:rFonts w:cs="Arial"/>
          <w:color w:val="000000" w:themeColor="text1"/>
          <w:sz w:val="22"/>
          <w:szCs w:val="22"/>
          <w:lang w:val="en-US"/>
        </w:rPr>
        <w:t xml:space="preserve">=-0.364 and </w:t>
      </w:r>
      <w:r w:rsidRPr="008B2CC8">
        <w:rPr>
          <w:rFonts w:cs="Arial"/>
          <w:i/>
          <w:iCs/>
          <w:color w:val="000000" w:themeColor="text1"/>
          <w:sz w:val="22"/>
          <w:szCs w:val="22"/>
          <w:lang w:val="en-US"/>
        </w:rPr>
        <w:t>r</w:t>
      </w:r>
      <w:r w:rsidRPr="008B2CC8">
        <w:rPr>
          <w:rFonts w:cs="Arial"/>
          <w:color w:val="000000" w:themeColor="text1"/>
          <w:sz w:val="22"/>
          <w:szCs w:val="22"/>
          <w:lang w:val="en-US"/>
        </w:rPr>
        <w:t>=-0.345, p=0.029 and p=0.039, respectively). Reduced N1 amplitude and increased P1 peak time were significantly associated with an increased foveal thickness (</w:t>
      </w:r>
      <w:r w:rsidRPr="008B2CC8">
        <w:rPr>
          <w:rFonts w:cs="Arial"/>
          <w:i/>
          <w:iCs/>
          <w:color w:val="000000" w:themeColor="text1"/>
          <w:sz w:val="22"/>
          <w:szCs w:val="22"/>
          <w:lang w:val="en-US"/>
        </w:rPr>
        <w:t>r</w:t>
      </w:r>
      <w:r w:rsidRPr="008B2CC8">
        <w:rPr>
          <w:rFonts w:cs="Arial"/>
          <w:color w:val="000000" w:themeColor="text1"/>
          <w:sz w:val="22"/>
          <w:szCs w:val="22"/>
          <w:lang w:val="en-US"/>
        </w:rPr>
        <w:t xml:space="preserve">=-0.354 and </w:t>
      </w:r>
      <w:r w:rsidRPr="008B2CC8">
        <w:rPr>
          <w:rFonts w:cs="Arial"/>
          <w:i/>
          <w:iCs/>
          <w:color w:val="000000" w:themeColor="text1"/>
          <w:sz w:val="22"/>
          <w:szCs w:val="22"/>
          <w:lang w:val="en-US"/>
        </w:rPr>
        <w:t>r</w:t>
      </w:r>
      <w:r w:rsidRPr="008B2CC8">
        <w:rPr>
          <w:rFonts w:cs="Arial"/>
          <w:color w:val="000000" w:themeColor="text1"/>
          <w:sz w:val="22"/>
          <w:szCs w:val="22"/>
          <w:lang w:val="en-US"/>
        </w:rPr>
        <w:t>=0.509, p=0.034 and p=0.002, respectively).</w:t>
      </w:r>
    </w:p>
    <w:p w14:paraId="5BADD89D" w14:textId="77777777" w:rsidR="00A55B63" w:rsidRPr="00672CF3" w:rsidRDefault="00A55B63" w:rsidP="00A55B63">
      <w:pPr>
        <w:ind w:right="276"/>
        <w:contextualSpacing/>
        <w:rPr>
          <w:rFonts w:cs="Arial"/>
          <w:b/>
          <w:sz w:val="22"/>
          <w:szCs w:val="22"/>
          <w:lang w:val="en-US"/>
        </w:rPr>
      </w:pPr>
    </w:p>
    <w:p w14:paraId="375BE730" w14:textId="77777777" w:rsidR="00A55B63" w:rsidRPr="00672CF3" w:rsidRDefault="00A55B63" w:rsidP="00A55B63">
      <w:pPr>
        <w:rPr>
          <w:rFonts w:cs="Arial"/>
          <w:b/>
          <w:sz w:val="20"/>
          <w:szCs w:val="20"/>
          <w:lang w:val="en-US"/>
        </w:rPr>
      </w:pPr>
      <w:r w:rsidRPr="00672CF3">
        <w:rPr>
          <w:rFonts w:cs="Arial"/>
          <w:b/>
          <w:sz w:val="20"/>
          <w:szCs w:val="20"/>
          <w:lang w:val="en-US"/>
        </w:rPr>
        <w:t>Table 1:</w:t>
      </w:r>
      <w:r w:rsidRPr="00672CF3">
        <w:rPr>
          <w:rFonts w:cs="Arial"/>
          <w:bCs/>
          <w:sz w:val="20"/>
          <w:szCs w:val="20"/>
          <w:lang w:val="en-US"/>
        </w:rPr>
        <w:t xml:space="preserve"> Clinical features in 18 patients with non-acute Vogt-Koyanagi-Harada disease included in the study</w:t>
      </w:r>
    </w:p>
    <w:tbl>
      <w:tblPr>
        <w:tblStyle w:val="Tabelacomgrade"/>
        <w:tblpPr w:leftFromText="141" w:rightFromText="141" w:vertAnchor="text" w:horzAnchor="margin" w:tblpY="49"/>
        <w:tblOverlap w:val="nev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850"/>
        <w:gridCol w:w="743"/>
      </w:tblGrid>
      <w:tr w:rsidR="00A55B63" w:rsidRPr="00672CF3" w14:paraId="44932D0D" w14:textId="77777777" w:rsidTr="00355294">
        <w:tc>
          <w:tcPr>
            <w:tcW w:w="6771" w:type="dxa"/>
            <w:tcBorders>
              <w:top w:val="single" w:sz="24" w:space="0" w:color="000000"/>
              <w:bottom w:val="single" w:sz="18" w:space="0" w:color="000000"/>
            </w:tcBorders>
          </w:tcPr>
          <w:p w14:paraId="5BC0E258" w14:textId="77777777" w:rsidR="00A55B63" w:rsidRPr="00672CF3" w:rsidRDefault="00A55B63" w:rsidP="00355294">
            <w:pPr>
              <w:ind w:right="-716"/>
              <w:contextualSpacing/>
              <w:rPr>
                <w:rFonts w:cs="Arial"/>
                <w:bCs/>
                <w:sz w:val="20"/>
                <w:szCs w:val="20"/>
              </w:rPr>
            </w:pPr>
            <w:r w:rsidRPr="00672CF3">
              <w:rPr>
                <w:rFonts w:cs="Arial"/>
                <w:b/>
                <w:color w:val="000000"/>
                <w:sz w:val="20"/>
                <w:szCs w:val="20"/>
              </w:rPr>
              <w:t>Featu</w:t>
            </w:r>
            <w:r w:rsidRPr="00672CF3">
              <w:rPr>
                <w:rFonts w:cs="Arial"/>
                <w:b/>
                <w:color w:val="000000" w:themeColor="text1"/>
                <w:sz w:val="20"/>
                <w:szCs w:val="20"/>
              </w:rPr>
              <w:t>res</w:t>
            </w:r>
          </w:p>
        </w:tc>
        <w:tc>
          <w:tcPr>
            <w:tcW w:w="850" w:type="dxa"/>
            <w:tcBorders>
              <w:top w:val="single" w:sz="24" w:space="0" w:color="000000"/>
              <w:bottom w:val="single" w:sz="18" w:space="0" w:color="000000"/>
            </w:tcBorders>
          </w:tcPr>
          <w:p w14:paraId="11B835DE" w14:textId="77777777" w:rsidR="00A55B63" w:rsidRPr="00672CF3" w:rsidRDefault="00A55B63" w:rsidP="00355294">
            <w:pPr>
              <w:ind w:right="-716"/>
              <w:contextualSpacing/>
              <w:rPr>
                <w:rFonts w:cs="Arial"/>
                <w:bCs/>
                <w:sz w:val="20"/>
                <w:szCs w:val="20"/>
              </w:rPr>
            </w:pPr>
          </w:p>
        </w:tc>
        <w:tc>
          <w:tcPr>
            <w:tcW w:w="743" w:type="dxa"/>
            <w:tcBorders>
              <w:top w:val="single" w:sz="24" w:space="0" w:color="000000"/>
              <w:bottom w:val="single" w:sz="18" w:space="0" w:color="000000"/>
            </w:tcBorders>
          </w:tcPr>
          <w:p w14:paraId="62F74EB4" w14:textId="77777777" w:rsidR="00A55B63" w:rsidRPr="00672CF3" w:rsidRDefault="00A55B63" w:rsidP="00355294">
            <w:pPr>
              <w:ind w:right="-716"/>
              <w:contextualSpacing/>
              <w:rPr>
                <w:rFonts w:cs="Arial"/>
                <w:bCs/>
                <w:sz w:val="20"/>
                <w:szCs w:val="20"/>
              </w:rPr>
            </w:pPr>
          </w:p>
        </w:tc>
      </w:tr>
      <w:tr w:rsidR="00A55B63" w:rsidRPr="00672CF3" w14:paraId="70FA9CAF" w14:textId="77777777" w:rsidTr="00355294">
        <w:tc>
          <w:tcPr>
            <w:tcW w:w="6771" w:type="dxa"/>
            <w:tcBorders>
              <w:top w:val="single" w:sz="18" w:space="0" w:color="000000"/>
            </w:tcBorders>
            <w:shd w:val="clear" w:color="auto" w:fill="D9D9D9" w:themeFill="background1" w:themeFillShade="D9"/>
          </w:tcPr>
          <w:p w14:paraId="5D342782" w14:textId="77777777" w:rsidR="00A55B63" w:rsidRPr="00672CF3" w:rsidRDefault="00A55B63" w:rsidP="00355294">
            <w:pPr>
              <w:ind w:right="-716"/>
              <w:contextualSpacing/>
              <w:rPr>
                <w:rFonts w:cs="Arial"/>
                <w:bCs/>
                <w:sz w:val="20"/>
                <w:szCs w:val="20"/>
              </w:rPr>
            </w:pPr>
            <w:r w:rsidRPr="00672CF3">
              <w:rPr>
                <w:rFonts w:cs="Arial"/>
                <w:b/>
                <w:color w:val="000000"/>
                <w:sz w:val="20"/>
                <w:szCs w:val="20"/>
              </w:rPr>
              <w:t>Age,</w:t>
            </w:r>
            <w:r w:rsidRPr="00672CF3">
              <w:rPr>
                <w:rFonts w:cs="Arial"/>
                <w:color w:val="000000"/>
                <w:sz w:val="20"/>
                <w:szCs w:val="20"/>
              </w:rPr>
              <w:t xml:space="preserve"> mean </w:t>
            </w:r>
            <w:r w:rsidRPr="00672CF3">
              <w:rPr>
                <w:rFonts w:cs="Arial"/>
                <w:color w:val="000000" w:themeColor="text1"/>
                <w:sz w:val="20"/>
                <w:szCs w:val="20"/>
              </w:rPr>
              <w:t>±SD</w:t>
            </w:r>
          </w:p>
        </w:tc>
        <w:tc>
          <w:tcPr>
            <w:tcW w:w="850" w:type="dxa"/>
            <w:tcBorders>
              <w:top w:val="single" w:sz="18" w:space="0" w:color="000000"/>
            </w:tcBorders>
            <w:shd w:val="clear" w:color="auto" w:fill="D9D9D9" w:themeFill="background1" w:themeFillShade="D9"/>
          </w:tcPr>
          <w:p w14:paraId="34DC939F" w14:textId="77777777" w:rsidR="00A55B63" w:rsidRPr="00672CF3" w:rsidRDefault="00A55B63" w:rsidP="00355294">
            <w:pPr>
              <w:ind w:right="-716"/>
              <w:contextualSpacing/>
              <w:rPr>
                <w:rFonts w:cs="Arial"/>
                <w:bCs/>
                <w:sz w:val="20"/>
                <w:szCs w:val="20"/>
              </w:rPr>
            </w:pPr>
            <w:r w:rsidRPr="00672CF3">
              <w:rPr>
                <w:rFonts w:cs="Arial"/>
                <w:color w:val="000000"/>
                <w:sz w:val="20"/>
                <w:szCs w:val="20"/>
              </w:rPr>
              <w:t>37.1</w:t>
            </w:r>
          </w:p>
        </w:tc>
        <w:tc>
          <w:tcPr>
            <w:tcW w:w="743" w:type="dxa"/>
            <w:tcBorders>
              <w:top w:val="single" w:sz="18" w:space="0" w:color="000000"/>
            </w:tcBorders>
            <w:shd w:val="clear" w:color="auto" w:fill="D9D9D9" w:themeFill="background1" w:themeFillShade="D9"/>
          </w:tcPr>
          <w:p w14:paraId="0D181C19" w14:textId="77777777" w:rsidR="00A55B63" w:rsidRPr="00672CF3" w:rsidRDefault="00A55B63" w:rsidP="00355294">
            <w:pPr>
              <w:ind w:right="-716"/>
              <w:contextualSpacing/>
              <w:rPr>
                <w:rFonts w:cs="Arial"/>
                <w:bCs/>
                <w:sz w:val="20"/>
                <w:szCs w:val="20"/>
              </w:rPr>
            </w:pPr>
            <w:r w:rsidRPr="00672CF3">
              <w:rPr>
                <w:rFonts w:cs="Arial"/>
                <w:color w:val="000000"/>
                <w:sz w:val="20"/>
                <w:szCs w:val="20"/>
              </w:rPr>
              <w:t>13</w:t>
            </w:r>
          </w:p>
        </w:tc>
      </w:tr>
      <w:tr w:rsidR="00A55B63" w:rsidRPr="00672CF3" w14:paraId="7CACAC1B" w14:textId="77777777" w:rsidTr="00355294">
        <w:tc>
          <w:tcPr>
            <w:tcW w:w="6771" w:type="dxa"/>
          </w:tcPr>
          <w:p w14:paraId="5959C8DA" w14:textId="77777777" w:rsidR="00A55B63" w:rsidRPr="00672CF3" w:rsidRDefault="00A55B63" w:rsidP="00355294">
            <w:pPr>
              <w:ind w:right="-716"/>
              <w:contextualSpacing/>
              <w:rPr>
                <w:rFonts w:cs="Arial"/>
                <w:bCs/>
                <w:sz w:val="20"/>
                <w:szCs w:val="20"/>
              </w:rPr>
            </w:pPr>
            <w:r w:rsidRPr="00672CF3">
              <w:rPr>
                <w:rFonts w:cs="Arial"/>
                <w:b/>
                <w:color w:val="000000"/>
                <w:sz w:val="20"/>
                <w:szCs w:val="20"/>
              </w:rPr>
              <w:t>Sex</w:t>
            </w:r>
            <w:r w:rsidRPr="00672CF3">
              <w:rPr>
                <w:rFonts w:cs="Arial"/>
                <w:color w:val="000000"/>
                <w:sz w:val="20"/>
                <w:szCs w:val="20"/>
              </w:rPr>
              <w:t>, n (%)</w:t>
            </w:r>
          </w:p>
        </w:tc>
        <w:tc>
          <w:tcPr>
            <w:tcW w:w="850" w:type="dxa"/>
          </w:tcPr>
          <w:p w14:paraId="647B46F5" w14:textId="77777777" w:rsidR="00A55B63" w:rsidRPr="00672CF3" w:rsidRDefault="00A55B63" w:rsidP="00355294">
            <w:pPr>
              <w:ind w:right="-716"/>
              <w:contextualSpacing/>
              <w:rPr>
                <w:rFonts w:cs="Arial"/>
                <w:bCs/>
                <w:sz w:val="20"/>
                <w:szCs w:val="20"/>
              </w:rPr>
            </w:pPr>
          </w:p>
        </w:tc>
        <w:tc>
          <w:tcPr>
            <w:tcW w:w="743" w:type="dxa"/>
          </w:tcPr>
          <w:p w14:paraId="685E1731" w14:textId="77777777" w:rsidR="00A55B63" w:rsidRPr="00672CF3" w:rsidRDefault="00A55B63" w:rsidP="00355294">
            <w:pPr>
              <w:ind w:right="-716"/>
              <w:contextualSpacing/>
              <w:rPr>
                <w:rFonts w:cs="Arial"/>
                <w:bCs/>
                <w:sz w:val="20"/>
                <w:szCs w:val="20"/>
              </w:rPr>
            </w:pPr>
          </w:p>
        </w:tc>
      </w:tr>
      <w:tr w:rsidR="00A55B63" w:rsidRPr="00672CF3" w14:paraId="58B74759" w14:textId="77777777" w:rsidTr="00355294">
        <w:tc>
          <w:tcPr>
            <w:tcW w:w="6771" w:type="dxa"/>
          </w:tcPr>
          <w:p w14:paraId="07538AF0" w14:textId="77777777" w:rsidR="00A55B63" w:rsidRPr="00672CF3" w:rsidRDefault="00A55B63" w:rsidP="00355294">
            <w:pPr>
              <w:ind w:right="-716"/>
              <w:contextualSpacing/>
              <w:rPr>
                <w:rFonts w:cs="Arial"/>
                <w:bCs/>
                <w:sz w:val="20"/>
                <w:szCs w:val="20"/>
              </w:rPr>
            </w:pPr>
            <w:r w:rsidRPr="00672CF3">
              <w:rPr>
                <w:rFonts w:cs="Arial"/>
                <w:color w:val="000000"/>
                <w:sz w:val="20"/>
                <w:szCs w:val="20"/>
              </w:rPr>
              <w:t xml:space="preserve">  Male</w:t>
            </w:r>
          </w:p>
        </w:tc>
        <w:tc>
          <w:tcPr>
            <w:tcW w:w="850" w:type="dxa"/>
            <w:vAlign w:val="center"/>
          </w:tcPr>
          <w:p w14:paraId="2B05C7DF" w14:textId="77777777" w:rsidR="00A55B63" w:rsidRPr="00672CF3" w:rsidRDefault="00A55B63" w:rsidP="00355294">
            <w:pPr>
              <w:ind w:right="-716"/>
              <w:contextualSpacing/>
              <w:rPr>
                <w:rFonts w:cs="Arial"/>
                <w:bCs/>
                <w:sz w:val="20"/>
                <w:szCs w:val="20"/>
              </w:rPr>
            </w:pPr>
            <w:r w:rsidRPr="00672CF3">
              <w:rPr>
                <w:rFonts w:cs="Arial"/>
                <w:color w:val="000000"/>
                <w:sz w:val="20"/>
                <w:szCs w:val="20"/>
              </w:rPr>
              <w:t>2</w:t>
            </w:r>
          </w:p>
        </w:tc>
        <w:tc>
          <w:tcPr>
            <w:tcW w:w="743" w:type="dxa"/>
            <w:vAlign w:val="center"/>
          </w:tcPr>
          <w:p w14:paraId="17D16FB6" w14:textId="77777777" w:rsidR="00A55B63" w:rsidRPr="00672CF3" w:rsidRDefault="00A55B63" w:rsidP="00355294">
            <w:pPr>
              <w:ind w:right="-716"/>
              <w:contextualSpacing/>
              <w:rPr>
                <w:rFonts w:cs="Arial"/>
                <w:bCs/>
                <w:sz w:val="20"/>
                <w:szCs w:val="20"/>
              </w:rPr>
            </w:pPr>
            <w:r w:rsidRPr="00672CF3">
              <w:rPr>
                <w:rFonts w:cs="Arial"/>
                <w:color w:val="000000"/>
                <w:sz w:val="20"/>
                <w:szCs w:val="20"/>
              </w:rPr>
              <w:t>11</w:t>
            </w:r>
          </w:p>
        </w:tc>
      </w:tr>
      <w:tr w:rsidR="00A55B63" w:rsidRPr="00672CF3" w14:paraId="1CD01AF7" w14:textId="77777777" w:rsidTr="00355294">
        <w:tc>
          <w:tcPr>
            <w:tcW w:w="6771" w:type="dxa"/>
          </w:tcPr>
          <w:p w14:paraId="0A38FDF2" w14:textId="77777777" w:rsidR="00A55B63" w:rsidRPr="00672CF3" w:rsidRDefault="00A55B63" w:rsidP="00355294">
            <w:pPr>
              <w:ind w:right="-716"/>
              <w:contextualSpacing/>
              <w:rPr>
                <w:rFonts w:cs="Arial"/>
                <w:bCs/>
                <w:sz w:val="20"/>
                <w:szCs w:val="20"/>
              </w:rPr>
            </w:pPr>
            <w:r w:rsidRPr="00672CF3">
              <w:rPr>
                <w:rFonts w:cs="Arial"/>
                <w:color w:val="000000"/>
                <w:sz w:val="20"/>
                <w:szCs w:val="20"/>
              </w:rPr>
              <w:t xml:space="preserve">  Female</w:t>
            </w:r>
          </w:p>
        </w:tc>
        <w:tc>
          <w:tcPr>
            <w:tcW w:w="850" w:type="dxa"/>
          </w:tcPr>
          <w:p w14:paraId="4772F3DF" w14:textId="77777777" w:rsidR="00A55B63" w:rsidRPr="00672CF3" w:rsidRDefault="00A55B63" w:rsidP="00355294">
            <w:pPr>
              <w:ind w:right="-716"/>
              <w:contextualSpacing/>
              <w:rPr>
                <w:rFonts w:cs="Arial"/>
                <w:bCs/>
                <w:sz w:val="20"/>
                <w:szCs w:val="20"/>
              </w:rPr>
            </w:pPr>
            <w:r w:rsidRPr="00672CF3">
              <w:rPr>
                <w:rFonts w:cs="Arial"/>
                <w:color w:val="000000"/>
                <w:sz w:val="20"/>
                <w:szCs w:val="20"/>
              </w:rPr>
              <w:t>16</w:t>
            </w:r>
          </w:p>
        </w:tc>
        <w:tc>
          <w:tcPr>
            <w:tcW w:w="743" w:type="dxa"/>
          </w:tcPr>
          <w:p w14:paraId="20028C61" w14:textId="77777777" w:rsidR="00A55B63" w:rsidRPr="00672CF3" w:rsidRDefault="00A55B63" w:rsidP="00355294">
            <w:pPr>
              <w:ind w:right="-716"/>
              <w:contextualSpacing/>
              <w:rPr>
                <w:rFonts w:cs="Arial"/>
                <w:bCs/>
                <w:sz w:val="20"/>
                <w:szCs w:val="20"/>
              </w:rPr>
            </w:pPr>
            <w:r w:rsidRPr="00672CF3">
              <w:rPr>
                <w:rFonts w:cs="Arial"/>
                <w:color w:val="000000"/>
                <w:sz w:val="20"/>
                <w:szCs w:val="20"/>
              </w:rPr>
              <w:t>89</w:t>
            </w:r>
          </w:p>
        </w:tc>
      </w:tr>
      <w:tr w:rsidR="00A55B63" w:rsidRPr="00672CF3" w14:paraId="41663A0A" w14:textId="77777777" w:rsidTr="00355294">
        <w:tc>
          <w:tcPr>
            <w:tcW w:w="6771" w:type="dxa"/>
            <w:shd w:val="clear" w:color="auto" w:fill="D9D9D9" w:themeFill="background1" w:themeFillShade="D9"/>
          </w:tcPr>
          <w:p w14:paraId="76A73245" w14:textId="77777777" w:rsidR="00A55B63" w:rsidRPr="00672CF3" w:rsidRDefault="00A55B63" w:rsidP="00355294">
            <w:pPr>
              <w:ind w:right="-716"/>
              <w:contextualSpacing/>
              <w:rPr>
                <w:rFonts w:cs="Arial"/>
                <w:bCs/>
                <w:sz w:val="20"/>
                <w:szCs w:val="20"/>
              </w:rPr>
            </w:pPr>
            <w:r w:rsidRPr="00672CF3">
              <w:rPr>
                <w:rFonts w:cs="Arial"/>
                <w:b/>
                <w:color w:val="000000"/>
                <w:sz w:val="20"/>
                <w:szCs w:val="20"/>
              </w:rPr>
              <w:t xml:space="preserve">Duration </w:t>
            </w:r>
            <w:r w:rsidRPr="00672CF3">
              <w:rPr>
                <w:rFonts w:cs="Arial"/>
                <w:color w:val="000000"/>
                <w:sz w:val="20"/>
                <w:szCs w:val="20"/>
              </w:rPr>
              <w:t>in months</w:t>
            </w:r>
            <w:r w:rsidRPr="00672CF3">
              <w:rPr>
                <w:rFonts w:cs="Arial"/>
                <w:b/>
                <w:color w:val="000000"/>
                <w:sz w:val="20"/>
                <w:szCs w:val="20"/>
              </w:rPr>
              <w:t>,</w:t>
            </w:r>
            <w:r w:rsidRPr="00672CF3">
              <w:rPr>
                <w:rFonts w:cs="Arial"/>
                <w:color w:val="000000"/>
                <w:sz w:val="20"/>
                <w:szCs w:val="20"/>
              </w:rPr>
              <w:t xml:space="preserve"> mean </w:t>
            </w:r>
            <w:r w:rsidRPr="00672CF3">
              <w:rPr>
                <w:rFonts w:cs="Arial"/>
                <w:color w:val="000000" w:themeColor="text1"/>
                <w:sz w:val="20"/>
                <w:szCs w:val="20"/>
              </w:rPr>
              <w:t>±SD</w:t>
            </w:r>
          </w:p>
        </w:tc>
        <w:tc>
          <w:tcPr>
            <w:tcW w:w="850" w:type="dxa"/>
            <w:shd w:val="clear" w:color="auto" w:fill="D9D9D9" w:themeFill="background1" w:themeFillShade="D9"/>
          </w:tcPr>
          <w:p w14:paraId="07407848" w14:textId="77777777" w:rsidR="00A55B63" w:rsidRPr="00672CF3" w:rsidRDefault="00A55B63" w:rsidP="00355294">
            <w:pPr>
              <w:ind w:right="-716"/>
              <w:contextualSpacing/>
              <w:rPr>
                <w:rFonts w:cs="Arial"/>
                <w:bCs/>
                <w:sz w:val="20"/>
                <w:szCs w:val="20"/>
              </w:rPr>
            </w:pPr>
            <w:r w:rsidRPr="00672CF3">
              <w:rPr>
                <w:rFonts w:cs="Arial"/>
                <w:color w:val="000000"/>
                <w:sz w:val="20"/>
                <w:szCs w:val="20"/>
              </w:rPr>
              <w:t>46.9</w:t>
            </w:r>
          </w:p>
        </w:tc>
        <w:tc>
          <w:tcPr>
            <w:tcW w:w="743" w:type="dxa"/>
            <w:shd w:val="clear" w:color="auto" w:fill="D9D9D9" w:themeFill="background1" w:themeFillShade="D9"/>
          </w:tcPr>
          <w:p w14:paraId="4F531555" w14:textId="77777777" w:rsidR="00A55B63" w:rsidRPr="00672CF3" w:rsidRDefault="00A55B63" w:rsidP="00355294">
            <w:pPr>
              <w:ind w:right="-716"/>
              <w:contextualSpacing/>
              <w:rPr>
                <w:rFonts w:cs="Arial"/>
                <w:bCs/>
                <w:sz w:val="20"/>
                <w:szCs w:val="20"/>
              </w:rPr>
            </w:pPr>
            <w:r w:rsidRPr="00672CF3">
              <w:rPr>
                <w:rFonts w:cs="Arial"/>
                <w:color w:val="000000"/>
                <w:sz w:val="20"/>
                <w:szCs w:val="20"/>
              </w:rPr>
              <w:t>23.7</w:t>
            </w:r>
          </w:p>
        </w:tc>
      </w:tr>
      <w:tr w:rsidR="00A55B63" w:rsidRPr="00672CF3" w14:paraId="05ACE85C" w14:textId="77777777" w:rsidTr="00355294">
        <w:tc>
          <w:tcPr>
            <w:tcW w:w="6771" w:type="dxa"/>
          </w:tcPr>
          <w:p w14:paraId="09CD7B83" w14:textId="77777777" w:rsidR="00A55B63" w:rsidRPr="00672CF3" w:rsidRDefault="00A55B63" w:rsidP="00355294">
            <w:pPr>
              <w:ind w:right="-716"/>
              <w:contextualSpacing/>
              <w:rPr>
                <w:rFonts w:cs="Arial"/>
                <w:bCs/>
                <w:sz w:val="20"/>
                <w:szCs w:val="20"/>
              </w:rPr>
            </w:pPr>
            <w:r w:rsidRPr="00672CF3">
              <w:rPr>
                <w:rFonts w:cs="Arial"/>
                <w:b/>
                <w:color w:val="000000"/>
                <w:sz w:val="20"/>
                <w:szCs w:val="20"/>
              </w:rPr>
              <w:t>Treatment groups</w:t>
            </w:r>
          </w:p>
        </w:tc>
        <w:tc>
          <w:tcPr>
            <w:tcW w:w="850" w:type="dxa"/>
          </w:tcPr>
          <w:p w14:paraId="2B07F6F4" w14:textId="77777777" w:rsidR="00A55B63" w:rsidRPr="00672CF3" w:rsidRDefault="00A55B63" w:rsidP="00355294">
            <w:pPr>
              <w:ind w:right="-716"/>
              <w:contextualSpacing/>
              <w:rPr>
                <w:rFonts w:cs="Arial"/>
                <w:bCs/>
                <w:sz w:val="20"/>
                <w:szCs w:val="20"/>
              </w:rPr>
            </w:pPr>
          </w:p>
        </w:tc>
        <w:tc>
          <w:tcPr>
            <w:tcW w:w="743" w:type="dxa"/>
          </w:tcPr>
          <w:p w14:paraId="6B99C87A" w14:textId="77777777" w:rsidR="00A55B63" w:rsidRPr="00672CF3" w:rsidRDefault="00A55B63" w:rsidP="00355294">
            <w:pPr>
              <w:ind w:right="-716"/>
              <w:contextualSpacing/>
              <w:rPr>
                <w:rFonts w:cs="Arial"/>
                <w:bCs/>
                <w:sz w:val="20"/>
                <w:szCs w:val="20"/>
              </w:rPr>
            </w:pPr>
          </w:p>
        </w:tc>
      </w:tr>
      <w:tr w:rsidR="00A55B63" w:rsidRPr="00672CF3" w14:paraId="6F278347" w14:textId="77777777" w:rsidTr="00355294">
        <w:tc>
          <w:tcPr>
            <w:tcW w:w="6771" w:type="dxa"/>
          </w:tcPr>
          <w:p w14:paraId="555AC499" w14:textId="77777777" w:rsidR="00A55B63" w:rsidRPr="00672CF3" w:rsidRDefault="00A55B63" w:rsidP="00355294">
            <w:pPr>
              <w:ind w:right="-716"/>
              <w:contextualSpacing/>
              <w:rPr>
                <w:rFonts w:cs="Arial"/>
                <w:bCs/>
                <w:sz w:val="20"/>
                <w:szCs w:val="20"/>
              </w:rPr>
            </w:pPr>
            <w:r w:rsidRPr="00672CF3">
              <w:rPr>
                <w:rFonts w:cs="Arial"/>
                <w:color w:val="000000"/>
                <w:sz w:val="20"/>
                <w:szCs w:val="20"/>
              </w:rPr>
              <w:t xml:space="preserve">  Only corticosteroids</w:t>
            </w:r>
          </w:p>
        </w:tc>
        <w:tc>
          <w:tcPr>
            <w:tcW w:w="850" w:type="dxa"/>
          </w:tcPr>
          <w:p w14:paraId="1634FDBF" w14:textId="77777777" w:rsidR="00A55B63" w:rsidRPr="00672CF3" w:rsidRDefault="00A55B63" w:rsidP="00355294">
            <w:pPr>
              <w:ind w:right="-716"/>
              <w:contextualSpacing/>
              <w:rPr>
                <w:rFonts w:cs="Arial"/>
                <w:bCs/>
                <w:sz w:val="20"/>
                <w:szCs w:val="20"/>
              </w:rPr>
            </w:pPr>
            <w:r w:rsidRPr="00672CF3">
              <w:rPr>
                <w:rFonts w:cs="Arial"/>
                <w:color w:val="000000"/>
                <w:sz w:val="20"/>
                <w:szCs w:val="20"/>
              </w:rPr>
              <w:t>4</w:t>
            </w:r>
          </w:p>
        </w:tc>
        <w:tc>
          <w:tcPr>
            <w:tcW w:w="743" w:type="dxa"/>
          </w:tcPr>
          <w:p w14:paraId="09F74BE7" w14:textId="77777777" w:rsidR="00A55B63" w:rsidRPr="00672CF3" w:rsidRDefault="00A55B63" w:rsidP="00355294">
            <w:pPr>
              <w:ind w:right="-716"/>
              <w:contextualSpacing/>
              <w:rPr>
                <w:rFonts w:cs="Arial"/>
                <w:bCs/>
                <w:sz w:val="20"/>
                <w:szCs w:val="20"/>
              </w:rPr>
            </w:pPr>
            <w:r w:rsidRPr="00672CF3">
              <w:rPr>
                <w:rFonts w:cs="Arial"/>
                <w:color w:val="000000"/>
                <w:sz w:val="20"/>
                <w:szCs w:val="20"/>
              </w:rPr>
              <w:t>22</w:t>
            </w:r>
          </w:p>
        </w:tc>
      </w:tr>
      <w:tr w:rsidR="00A55B63" w:rsidRPr="00672CF3" w14:paraId="682D0478" w14:textId="77777777" w:rsidTr="00355294">
        <w:tc>
          <w:tcPr>
            <w:tcW w:w="6771" w:type="dxa"/>
          </w:tcPr>
          <w:p w14:paraId="59E43AFE" w14:textId="77777777" w:rsidR="00A55B63" w:rsidRPr="00672CF3" w:rsidRDefault="00A55B63" w:rsidP="00355294">
            <w:pPr>
              <w:ind w:right="-716"/>
              <w:contextualSpacing/>
              <w:rPr>
                <w:rFonts w:cs="Arial"/>
                <w:bCs/>
                <w:color w:val="000000" w:themeColor="text1"/>
                <w:sz w:val="20"/>
                <w:szCs w:val="20"/>
              </w:rPr>
            </w:pPr>
            <w:r w:rsidRPr="00672CF3">
              <w:rPr>
                <w:rFonts w:cs="Arial"/>
                <w:color w:val="000000" w:themeColor="text1"/>
                <w:sz w:val="20"/>
                <w:szCs w:val="20"/>
              </w:rPr>
              <w:t xml:space="preserve">  Corticosteroids and late immunosuppression (</w:t>
            </w:r>
            <w:r w:rsidRPr="00672CF3">
              <w:rPr>
                <w:color w:val="000000" w:themeColor="text1"/>
                <w:sz w:val="20"/>
                <w:szCs w:val="20"/>
              </w:rPr>
              <w:t>≥4</w:t>
            </w:r>
            <w:r w:rsidRPr="00672CF3">
              <w:rPr>
                <w:rFonts w:cs="Arial"/>
                <w:color w:val="000000" w:themeColor="text1"/>
                <w:sz w:val="20"/>
                <w:szCs w:val="20"/>
              </w:rPr>
              <w:t xml:space="preserve"> months)</w:t>
            </w:r>
          </w:p>
        </w:tc>
        <w:tc>
          <w:tcPr>
            <w:tcW w:w="850" w:type="dxa"/>
          </w:tcPr>
          <w:p w14:paraId="23B81A63" w14:textId="77777777" w:rsidR="00A55B63" w:rsidRPr="00672CF3" w:rsidRDefault="00A55B63" w:rsidP="00355294">
            <w:pPr>
              <w:ind w:right="-716"/>
              <w:contextualSpacing/>
              <w:rPr>
                <w:rFonts w:cs="Arial"/>
                <w:bCs/>
                <w:sz w:val="20"/>
                <w:szCs w:val="20"/>
              </w:rPr>
            </w:pPr>
            <w:r w:rsidRPr="00672CF3">
              <w:rPr>
                <w:rFonts w:cs="Arial"/>
                <w:color w:val="000000"/>
                <w:sz w:val="20"/>
                <w:szCs w:val="20"/>
              </w:rPr>
              <w:t>5</w:t>
            </w:r>
          </w:p>
        </w:tc>
        <w:tc>
          <w:tcPr>
            <w:tcW w:w="743" w:type="dxa"/>
          </w:tcPr>
          <w:p w14:paraId="68D901F5" w14:textId="77777777" w:rsidR="00A55B63" w:rsidRPr="00672CF3" w:rsidRDefault="00A55B63" w:rsidP="00355294">
            <w:pPr>
              <w:ind w:right="-716"/>
              <w:contextualSpacing/>
              <w:rPr>
                <w:rFonts w:cs="Arial"/>
                <w:bCs/>
                <w:sz w:val="20"/>
                <w:szCs w:val="20"/>
              </w:rPr>
            </w:pPr>
            <w:r w:rsidRPr="00672CF3">
              <w:rPr>
                <w:rFonts w:cs="Arial"/>
                <w:color w:val="000000"/>
                <w:sz w:val="20"/>
                <w:szCs w:val="20"/>
              </w:rPr>
              <w:t>28</w:t>
            </w:r>
          </w:p>
        </w:tc>
      </w:tr>
      <w:tr w:rsidR="00A55B63" w:rsidRPr="00672CF3" w14:paraId="7972757A" w14:textId="77777777" w:rsidTr="00355294">
        <w:tc>
          <w:tcPr>
            <w:tcW w:w="6771" w:type="dxa"/>
          </w:tcPr>
          <w:p w14:paraId="22116216" w14:textId="77777777" w:rsidR="00A55B63" w:rsidRPr="00672CF3" w:rsidRDefault="00A55B63" w:rsidP="00355294">
            <w:pPr>
              <w:rPr>
                <w:rFonts w:cs="Arial"/>
                <w:color w:val="000000" w:themeColor="text1"/>
                <w:sz w:val="20"/>
                <w:szCs w:val="20"/>
              </w:rPr>
            </w:pPr>
            <w:r w:rsidRPr="00672CF3">
              <w:rPr>
                <w:rFonts w:cs="Arial"/>
                <w:color w:val="000000" w:themeColor="text1"/>
                <w:sz w:val="20"/>
                <w:szCs w:val="20"/>
              </w:rPr>
              <w:t xml:space="preserve">  Corticosteroids and early immunosuppression (</w:t>
            </w:r>
            <w:r w:rsidRPr="00672CF3">
              <w:rPr>
                <w:rFonts w:cs="Arial"/>
                <w:color w:val="000000" w:themeColor="text1"/>
                <w:sz w:val="20"/>
                <w:szCs w:val="20"/>
                <w:shd w:val="clear" w:color="auto" w:fill="FFFFFF"/>
              </w:rPr>
              <w:t>&lt;4 months)</w:t>
            </w:r>
          </w:p>
        </w:tc>
        <w:tc>
          <w:tcPr>
            <w:tcW w:w="850" w:type="dxa"/>
          </w:tcPr>
          <w:p w14:paraId="0FECAE73" w14:textId="77777777" w:rsidR="00A55B63" w:rsidRPr="00672CF3" w:rsidRDefault="00A55B63" w:rsidP="00355294">
            <w:pPr>
              <w:ind w:right="-716"/>
              <w:contextualSpacing/>
              <w:rPr>
                <w:rFonts w:cs="Arial"/>
                <w:bCs/>
                <w:sz w:val="20"/>
                <w:szCs w:val="20"/>
              </w:rPr>
            </w:pPr>
            <w:r w:rsidRPr="00672CF3">
              <w:rPr>
                <w:rFonts w:cs="Arial"/>
                <w:color w:val="000000"/>
                <w:sz w:val="20"/>
                <w:szCs w:val="20"/>
              </w:rPr>
              <w:t>9</w:t>
            </w:r>
          </w:p>
        </w:tc>
        <w:tc>
          <w:tcPr>
            <w:tcW w:w="743" w:type="dxa"/>
          </w:tcPr>
          <w:p w14:paraId="05ED3E0F" w14:textId="77777777" w:rsidR="00A55B63" w:rsidRPr="00672CF3" w:rsidRDefault="00A55B63" w:rsidP="00355294">
            <w:pPr>
              <w:ind w:right="-716"/>
              <w:contextualSpacing/>
              <w:rPr>
                <w:rFonts w:cs="Arial"/>
                <w:bCs/>
                <w:sz w:val="20"/>
                <w:szCs w:val="20"/>
              </w:rPr>
            </w:pPr>
            <w:r w:rsidRPr="00672CF3">
              <w:rPr>
                <w:rFonts w:cs="Arial"/>
                <w:color w:val="000000"/>
                <w:sz w:val="20"/>
                <w:szCs w:val="20"/>
              </w:rPr>
              <w:t>50</w:t>
            </w:r>
          </w:p>
        </w:tc>
      </w:tr>
      <w:tr w:rsidR="00A55B63" w:rsidRPr="00672CF3" w14:paraId="6A344039" w14:textId="77777777" w:rsidTr="00355294">
        <w:tc>
          <w:tcPr>
            <w:tcW w:w="6771" w:type="dxa"/>
            <w:shd w:val="clear" w:color="auto" w:fill="D9D9D9" w:themeFill="background1" w:themeFillShade="D9"/>
          </w:tcPr>
          <w:p w14:paraId="3711B3B8" w14:textId="77777777" w:rsidR="00A55B63" w:rsidRPr="00672CF3" w:rsidRDefault="00A55B63" w:rsidP="00355294">
            <w:pPr>
              <w:pBdr>
                <w:top w:val="nil"/>
                <w:left w:val="nil"/>
                <w:bottom w:val="nil"/>
                <w:right w:val="nil"/>
                <w:between w:val="nil"/>
              </w:pBdr>
              <w:contextualSpacing/>
              <w:rPr>
                <w:rFonts w:cs="Arial"/>
                <w:color w:val="000000"/>
                <w:sz w:val="20"/>
                <w:szCs w:val="20"/>
              </w:rPr>
            </w:pPr>
            <w:r w:rsidRPr="00672CF3">
              <w:rPr>
                <w:rFonts w:cs="Arial"/>
                <w:b/>
                <w:color w:val="000000"/>
                <w:sz w:val="20"/>
                <w:szCs w:val="20"/>
              </w:rPr>
              <w:t xml:space="preserve">Severity according to analytic classification of eye fundus, </w:t>
            </w:r>
            <w:r w:rsidRPr="00672CF3">
              <w:rPr>
                <w:rFonts w:cs="Arial"/>
                <w:color w:val="000000"/>
                <w:sz w:val="20"/>
                <w:szCs w:val="20"/>
              </w:rPr>
              <w:t>n (%)</w:t>
            </w:r>
            <w:r w:rsidRPr="00672CF3">
              <w:rPr>
                <w:rFonts w:cs="Arial"/>
                <w:b/>
                <w:color w:val="000000"/>
                <w:sz w:val="20"/>
                <w:szCs w:val="20"/>
              </w:rPr>
              <w:t xml:space="preserve"> </w:t>
            </w:r>
            <w:r w:rsidRPr="00672CF3">
              <w:rPr>
                <w:rFonts w:cs="Arial"/>
                <w:color w:val="000000"/>
                <w:sz w:val="20"/>
                <w:szCs w:val="20"/>
              </w:rPr>
              <w:t>(worse eye)</w:t>
            </w:r>
          </w:p>
          <w:p w14:paraId="3D2870FC" w14:textId="77777777" w:rsidR="00A55B63" w:rsidRPr="00672CF3" w:rsidRDefault="00A55B63" w:rsidP="00355294">
            <w:pPr>
              <w:pBdr>
                <w:top w:val="nil"/>
                <w:left w:val="nil"/>
                <w:bottom w:val="nil"/>
                <w:right w:val="nil"/>
                <w:between w:val="nil"/>
              </w:pBdr>
              <w:contextualSpacing/>
              <w:rPr>
                <w:rFonts w:cs="Arial"/>
                <w:color w:val="000000"/>
                <w:sz w:val="20"/>
                <w:szCs w:val="20"/>
              </w:rPr>
            </w:pPr>
            <w:r w:rsidRPr="00672CF3">
              <w:rPr>
                <w:rFonts w:cs="Arial"/>
                <w:color w:val="000000"/>
                <w:sz w:val="20"/>
                <w:szCs w:val="20"/>
              </w:rPr>
              <w:t xml:space="preserve">   Mild</w:t>
            </w:r>
          </w:p>
          <w:p w14:paraId="538356E7" w14:textId="77777777" w:rsidR="00A55B63" w:rsidRPr="00672CF3" w:rsidRDefault="00A55B63" w:rsidP="00355294">
            <w:pPr>
              <w:pBdr>
                <w:top w:val="nil"/>
                <w:left w:val="nil"/>
                <w:bottom w:val="nil"/>
                <w:right w:val="nil"/>
                <w:between w:val="nil"/>
              </w:pBdr>
              <w:contextualSpacing/>
              <w:rPr>
                <w:rFonts w:cs="Arial"/>
                <w:color w:val="000000"/>
                <w:sz w:val="20"/>
                <w:szCs w:val="20"/>
              </w:rPr>
            </w:pPr>
            <w:r w:rsidRPr="00672CF3">
              <w:rPr>
                <w:rFonts w:cs="Arial"/>
                <w:color w:val="000000"/>
                <w:sz w:val="20"/>
                <w:szCs w:val="20"/>
              </w:rPr>
              <w:t xml:space="preserve">   Moderate</w:t>
            </w:r>
          </w:p>
          <w:p w14:paraId="70A9B036" w14:textId="77777777" w:rsidR="00A55B63" w:rsidRPr="00672CF3" w:rsidRDefault="00A55B63" w:rsidP="00355294">
            <w:pPr>
              <w:ind w:right="-716"/>
              <w:contextualSpacing/>
              <w:rPr>
                <w:rFonts w:cs="Arial"/>
                <w:bCs/>
                <w:sz w:val="20"/>
                <w:szCs w:val="20"/>
              </w:rPr>
            </w:pPr>
            <w:r w:rsidRPr="00672CF3">
              <w:rPr>
                <w:rFonts w:cs="Arial"/>
                <w:color w:val="000000"/>
                <w:sz w:val="20"/>
                <w:szCs w:val="20"/>
              </w:rPr>
              <w:t xml:space="preserve">   Severe</w:t>
            </w:r>
          </w:p>
        </w:tc>
        <w:tc>
          <w:tcPr>
            <w:tcW w:w="850" w:type="dxa"/>
            <w:shd w:val="clear" w:color="auto" w:fill="D9D9D9" w:themeFill="background1" w:themeFillShade="D9"/>
          </w:tcPr>
          <w:p w14:paraId="38D9EEB8" w14:textId="77777777" w:rsidR="00A55B63" w:rsidRPr="00672CF3" w:rsidRDefault="00A55B63" w:rsidP="00355294">
            <w:pPr>
              <w:pBdr>
                <w:top w:val="nil"/>
                <w:left w:val="nil"/>
                <w:bottom w:val="nil"/>
                <w:right w:val="nil"/>
                <w:between w:val="nil"/>
              </w:pBdr>
              <w:contextualSpacing/>
              <w:rPr>
                <w:rFonts w:cs="Arial"/>
                <w:color w:val="000000"/>
                <w:sz w:val="20"/>
                <w:szCs w:val="20"/>
              </w:rPr>
            </w:pPr>
          </w:p>
          <w:p w14:paraId="1BA7E04A" w14:textId="77777777" w:rsidR="00A55B63" w:rsidRPr="00672CF3" w:rsidRDefault="00A55B63" w:rsidP="00355294">
            <w:pPr>
              <w:pBdr>
                <w:top w:val="nil"/>
                <w:left w:val="nil"/>
                <w:bottom w:val="nil"/>
                <w:right w:val="nil"/>
                <w:between w:val="nil"/>
              </w:pBdr>
              <w:contextualSpacing/>
              <w:rPr>
                <w:rFonts w:cs="Arial"/>
                <w:color w:val="000000"/>
                <w:sz w:val="20"/>
                <w:szCs w:val="20"/>
              </w:rPr>
            </w:pPr>
            <w:r w:rsidRPr="00672CF3">
              <w:rPr>
                <w:rFonts w:cs="Arial"/>
                <w:color w:val="000000"/>
                <w:sz w:val="20"/>
                <w:szCs w:val="20"/>
              </w:rPr>
              <w:t>11</w:t>
            </w:r>
          </w:p>
          <w:p w14:paraId="12542963" w14:textId="77777777" w:rsidR="00A55B63" w:rsidRPr="00672CF3" w:rsidRDefault="00A55B63" w:rsidP="00355294">
            <w:pPr>
              <w:pBdr>
                <w:top w:val="nil"/>
                <w:left w:val="nil"/>
                <w:bottom w:val="nil"/>
                <w:right w:val="nil"/>
                <w:between w:val="nil"/>
              </w:pBdr>
              <w:contextualSpacing/>
              <w:rPr>
                <w:rFonts w:cs="Arial"/>
                <w:color w:val="000000"/>
                <w:sz w:val="20"/>
                <w:szCs w:val="20"/>
              </w:rPr>
            </w:pPr>
            <w:r w:rsidRPr="00672CF3">
              <w:rPr>
                <w:rFonts w:cs="Arial"/>
                <w:color w:val="000000"/>
                <w:sz w:val="20"/>
                <w:szCs w:val="20"/>
              </w:rPr>
              <w:t>5</w:t>
            </w:r>
          </w:p>
          <w:p w14:paraId="41C47EC6" w14:textId="77777777" w:rsidR="00A55B63" w:rsidRPr="00672CF3" w:rsidRDefault="00A55B63" w:rsidP="00355294">
            <w:pPr>
              <w:ind w:right="-716"/>
              <w:contextualSpacing/>
              <w:rPr>
                <w:rFonts w:cs="Arial"/>
                <w:bCs/>
                <w:sz w:val="20"/>
                <w:szCs w:val="20"/>
              </w:rPr>
            </w:pPr>
            <w:r w:rsidRPr="00672CF3">
              <w:rPr>
                <w:rFonts w:cs="Arial"/>
                <w:color w:val="000000"/>
                <w:sz w:val="20"/>
                <w:szCs w:val="20"/>
              </w:rPr>
              <w:t>2</w:t>
            </w:r>
          </w:p>
        </w:tc>
        <w:tc>
          <w:tcPr>
            <w:tcW w:w="743" w:type="dxa"/>
            <w:shd w:val="clear" w:color="auto" w:fill="D9D9D9" w:themeFill="background1" w:themeFillShade="D9"/>
          </w:tcPr>
          <w:p w14:paraId="2A405A88"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sz w:val="20"/>
                <w:szCs w:val="20"/>
              </w:rPr>
            </w:pPr>
          </w:p>
          <w:p w14:paraId="01DDDCC4"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sz w:val="20"/>
                <w:szCs w:val="20"/>
              </w:rPr>
            </w:pPr>
            <w:r w:rsidRPr="00672CF3">
              <w:rPr>
                <w:rFonts w:cs="Arial"/>
                <w:color w:val="000000"/>
                <w:sz w:val="20"/>
                <w:szCs w:val="20"/>
              </w:rPr>
              <w:t>61</w:t>
            </w:r>
          </w:p>
          <w:p w14:paraId="376AF803"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sz w:val="20"/>
                <w:szCs w:val="20"/>
              </w:rPr>
            </w:pPr>
            <w:r w:rsidRPr="00672CF3">
              <w:rPr>
                <w:rFonts w:cs="Arial"/>
                <w:color w:val="000000"/>
                <w:sz w:val="20"/>
                <w:szCs w:val="20"/>
              </w:rPr>
              <w:t>28</w:t>
            </w:r>
          </w:p>
          <w:p w14:paraId="1DB95666" w14:textId="77777777" w:rsidR="00A55B63" w:rsidRPr="00672CF3" w:rsidRDefault="00A55B63" w:rsidP="00355294">
            <w:pPr>
              <w:ind w:right="-716"/>
              <w:contextualSpacing/>
              <w:rPr>
                <w:rFonts w:cs="Arial"/>
                <w:bCs/>
                <w:sz w:val="20"/>
                <w:szCs w:val="20"/>
              </w:rPr>
            </w:pPr>
            <w:r w:rsidRPr="00672CF3">
              <w:rPr>
                <w:rFonts w:cs="Arial"/>
                <w:color w:val="000000"/>
                <w:sz w:val="20"/>
                <w:szCs w:val="20"/>
              </w:rPr>
              <w:t>11</w:t>
            </w:r>
          </w:p>
        </w:tc>
      </w:tr>
      <w:tr w:rsidR="00A55B63" w:rsidRPr="00672CF3" w14:paraId="66AC7E01" w14:textId="77777777" w:rsidTr="00355294">
        <w:tc>
          <w:tcPr>
            <w:tcW w:w="6771" w:type="dxa"/>
          </w:tcPr>
          <w:p w14:paraId="7190BB3F" w14:textId="77777777" w:rsidR="00A55B63" w:rsidRPr="00672CF3" w:rsidRDefault="00A55B63" w:rsidP="00355294">
            <w:pPr>
              <w:pBdr>
                <w:top w:val="nil"/>
                <w:left w:val="nil"/>
                <w:bottom w:val="nil"/>
                <w:right w:val="nil"/>
                <w:between w:val="nil"/>
              </w:pBdr>
              <w:contextualSpacing/>
              <w:rPr>
                <w:rFonts w:cs="Arial"/>
                <w:b/>
                <w:color w:val="000000" w:themeColor="text1"/>
                <w:sz w:val="20"/>
                <w:szCs w:val="20"/>
              </w:rPr>
            </w:pPr>
            <w:r w:rsidRPr="00672CF3">
              <w:rPr>
                <w:rFonts w:cs="Arial"/>
                <w:b/>
                <w:color w:val="000000" w:themeColor="text1"/>
                <w:sz w:val="20"/>
                <w:szCs w:val="20"/>
              </w:rPr>
              <w:t>Visual acuity, n (%) (eyes)</w:t>
            </w:r>
          </w:p>
          <w:p w14:paraId="586C5958" w14:textId="77777777" w:rsidR="00A55B63" w:rsidRPr="00672CF3" w:rsidRDefault="00A55B63" w:rsidP="00355294">
            <w:pPr>
              <w:pBdr>
                <w:top w:val="nil"/>
                <w:left w:val="nil"/>
                <w:bottom w:val="nil"/>
                <w:right w:val="nil"/>
                <w:between w:val="nil"/>
              </w:pBdr>
              <w:contextualSpacing/>
              <w:rPr>
                <w:rFonts w:eastAsia="Gungsuh" w:cs="Arial"/>
                <w:color w:val="000000" w:themeColor="text1"/>
                <w:sz w:val="20"/>
                <w:szCs w:val="20"/>
              </w:rPr>
            </w:pPr>
            <w:r w:rsidRPr="00672CF3">
              <w:rPr>
                <w:rFonts w:eastAsia="Gungsuh" w:cs="Arial"/>
                <w:color w:val="000000" w:themeColor="text1"/>
                <w:sz w:val="20"/>
                <w:szCs w:val="20"/>
              </w:rPr>
              <w:t xml:space="preserve">   20/20</w:t>
            </w:r>
          </w:p>
          <w:p w14:paraId="4FAC6FBE" w14:textId="77777777" w:rsidR="00A55B63" w:rsidRPr="00672CF3" w:rsidRDefault="00A55B63" w:rsidP="00355294">
            <w:pPr>
              <w:pBdr>
                <w:top w:val="nil"/>
                <w:left w:val="nil"/>
                <w:bottom w:val="nil"/>
                <w:right w:val="nil"/>
                <w:between w:val="nil"/>
              </w:pBdr>
              <w:contextualSpacing/>
              <w:rPr>
                <w:rFonts w:eastAsia="Gungsuh" w:cs="Arial"/>
                <w:color w:val="000000" w:themeColor="text1"/>
                <w:sz w:val="20"/>
                <w:szCs w:val="20"/>
              </w:rPr>
            </w:pPr>
            <w:r w:rsidRPr="00672CF3">
              <w:rPr>
                <w:rFonts w:eastAsia="Gungsuh" w:cs="Arial"/>
                <w:color w:val="000000" w:themeColor="text1"/>
                <w:sz w:val="20"/>
                <w:szCs w:val="20"/>
              </w:rPr>
              <w:t xml:space="preserve">   &lt;20/20 ≥20/60</w:t>
            </w:r>
          </w:p>
        </w:tc>
        <w:tc>
          <w:tcPr>
            <w:tcW w:w="850" w:type="dxa"/>
          </w:tcPr>
          <w:p w14:paraId="25479FA5"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p>
          <w:p w14:paraId="47C44BB1"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29</w:t>
            </w:r>
          </w:p>
          <w:p w14:paraId="50989B78"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7</w:t>
            </w:r>
          </w:p>
        </w:tc>
        <w:tc>
          <w:tcPr>
            <w:tcW w:w="743" w:type="dxa"/>
          </w:tcPr>
          <w:p w14:paraId="09912017"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themeColor="text1"/>
                <w:sz w:val="20"/>
                <w:szCs w:val="20"/>
              </w:rPr>
            </w:pPr>
          </w:p>
          <w:p w14:paraId="1F88CF80"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81</w:t>
            </w:r>
          </w:p>
          <w:p w14:paraId="5E8D1D5E" w14:textId="77777777" w:rsidR="00A55B63" w:rsidRPr="00672CF3" w:rsidRDefault="00A55B63" w:rsidP="00355294">
            <w:pPr>
              <w:ind w:right="-716"/>
              <w:contextualSpacing/>
              <w:rPr>
                <w:rFonts w:cs="Arial"/>
                <w:bCs/>
                <w:color w:val="000000" w:themeColor="text1"/>
                <w:sz w:val="20"/>
                <w:szCs w:val="20"/>
              </w:rPr>
            </w:pPr>
            <w:r w:rsidRPr="00672CF3">
              <w:rPr>
                <w:rFonts w:cs="Arial"/>
                <w:color w:val="000000" w:themeColor="text1"/>
                <w:sz w:val="20"/>
                <w:szCs w:val="20"/>
              </w:rPr>
              <w:t>19</w:t>
            </w:r>
          </w:p>
        </w:tc>
      </w:tr>
      <w:tr w:rsidR="00A55B63" w:rsidRPr="00672CF3" w14:paraId="00698BC0" w14:textId="77777777" w:rsidTr="00355294">
        <w:tc>
          <w:tcPr>
            <w:tcW w:w="6771" w:type="dxa"/>
          </w:tcPr>
          <w:p w14:paraId="026AEAEC" w14:textId="77777777" w:rsidR="00A55B63" w:rsidRPr="00672CF3" w:rsidRDefault="00A55B63" w:rsidP="00355294">
            <w:pPr>
              <w:rPr>
                <w:rFonts w:cs="Arial"/>
                <w:b/>
                <w:color w:val="000000" w:themeColor="text1"/>
                <w:sz w:val="20"/>
                <w:szCs w:val="20"/>
              </w:rPr>
            </w:pPr>
            <w:r w:rsidRPr="00672CF3">
              <w:rPr>
                <w:rFonts w:cs="Arial"/>
                <w:b/>
                <w:color w:val="000000" w:themeColor="text1"/>
                <w:sz w:val="20"/>
                <w:szCs w:val="20"/>
              </w:rPr>
              <w:t>Disease activity status, n eyes (%)</w:t>
            </w:r>
          </w:p>
          <w:p w14:paraId="5AC30B31" w14:textId="77777777" w:rsidR="00A55B63" w:rsidRPr="00672CF3" w:rsidRDefault="00A55B63" w:rsidP="00355294">
            <w:pPr>
              <w:rPr>
                <w:rFonts w:cs="Arial"/>
                <w:bCs/>
                <w:i/>
                <w:iCs/>
                <w:color w:val="000000" w:themeColor="text1"/>
                <w:sz w:val="20"/>
                <w:szCs w:val="20"/>
              </w:rPr>
            </w:pPr>
            <w:r w:rsidRPr="00672CF3">
              <w:rPr>
                <w:rFonts w:cs="Arial"/>
                <w:bCs/>
                <w:i/>
                <w:iCs/>
                <w:color w:val="000000" w:themeColor="text1"/>
                <w:sz w:val="20"/>
                <w:szCs w:val="20"/>
              </w:rPr>
              <w:t xml:space="preserve">   Clinical signs</w:t>
            </w:r>
          </w:p>
          <w:p w14:paraId="07913E22" w14:textId="77777777" w:rsidR="00A55B63" w:rsidRPr="00672CF3" w:rsidRDefault="00A55B63" w:rsidP="00355294">
            <w:pPr>
              <w:rPr>
                <w:rFonts w:cs="Arial"/>
                <w:bCs/>
                <w:color w:val="000000" w:themeColor="text1"/>
                <w:sz w:val="20"/>
                <w:szCs w:val="20"/>
              </w:rPr>
            </w:pPr>
            <w:r w:rsidRPr="00672CF3">
              <w:rPr>
                <w:rFonts w:cs="Arial"/>
                <w:bCs/>
                <w:color w:val="000000" w:themeColor="text1"/>
                <w:sz w:val="20"/>
                <w:szCs w:val="20"/>
              </w:rPr>
              <w:t xml:space="preserve">       Anterior chamber cells</w:t>
            </w:r>
          </w:p>
          <w:p w14:paraId="6A0954F9" w14:textId="77777777" w:rsidR="00A55B63" w:rsidRPr="00672CF3" w:rsidRDefault="00A55B63" w:rsidP="00355294">
            <w:pPr>
              <w:rPr>
                <w:rFonts w:cs="Arial"/>
                <w:bCs/>
                <w:color w:val="000000" w:themeColor="text1"/>
                <w:sz w:val="20"/>
                <w:szCs w:val="20"/>
              </w:rPr>
            </w:pPr>
            <w:r w:rsidRPr="00672CF3">
              <w:rPr>
                <w:rFonts w:cs="Arial"/>
                <w:bCs/>
                <w:color w:val="000000" w:themeColor="text1"/>
                <w:sz w:val="20"/>
                <w:szCs w:val="20"/>
              </w:rPr>
              <w:t xml:space="preserve">       Macular edema </w:t>
            </w:r>
          </w:p>
          <w:p w14:paraId="030DBE43" w14:textId="77777777" w:rsidR="00A55B63" w:rsidRPr="00672CF3" w:rsidRDefault="00A55B63" w:rsidP="00355294">
            <w:pPr>
              <w:pBdr>
                <w:top w:val="nil"/>
                <w:left w:val="nil"/>
                <w:bottom w:val="nil"/>
                <w:right w:val="nil"/>
                <w:between w:val="nil"/>
              </w:pBdr>
              <w:contextualSpacing/>
              <w:rPr>
                <w:rFonts w:cs="Arial"/>
                <w:bCs/>
                <w:i/>
                <w:iCs/>
                <w:color w:val="000000" w:themeColor="text1"/>
                <w:sz w:val="20"/>
                <w:szCs w:val="20"/>
              </w:rPr>
            </w:pPr>
            <w:r w:rsidRPr="00672CF3">
              <w:rPr>
                <w:rFonts w:cs="Arial"/>
                <w:b/>
                <w:color w:val="000000" w:themeColor="text1"/>
                <w:sz w:val="20"/>
                <w:szCs w:val="20"/>
              </w:rPr>
              <w:t xml:space="preserve">   </w:t>
            </w:r>
            <w:r w:rsidRPr="00672CF3">
              <w:rPr>
                <w:rFonts w:cs="Arial"/>
                <w:bCs/>
                <w:i/>
                <w:iCs/>
                <w:color w:val="000000" w:themeColor="text1"/>
                <w:sz w:val="20"/>
                <w:szCs w:val="20"/>
              </w:rPr>
              <w:t xml:space="preserve">Subclinical signs </w:t>
            </w:r>
          </w:p>
          <w:p w14:paraId="4148AFBC" w14:textId="77777777" w:rsidR="00A55B63" w:rsidRPr="00672CF3" w:rsidRDefault="00A55B63" w:rsidP="00355294">
            <w:pPr>
              <w:pBdr>
                <w:top w:val="nil"/>
                <w:left w:val="nil"/>
                <w:bottom w:val="nil"/>
                <w:right w:val="nil"/>
                <w:between w:val="nil"/>
              </w:pBdr>
              <w:contextualSpacing/>
              <w:rPr>
                <w:rFonts w:cs="Arial"/>
                <w:bCs/>
                <w:color w:val="000000" w:themeColor="text1"/>
                <w:sz w:val="20"/>
                <w:szCs w:val="20"/>
              </w:rPr>
            </w:pPr>
            <w:r w:rsidRPr="00672CF3">
              <w:rPr>
                <w:rFonts w:cs="Arial"/>
                <w:b/>
                <w:color w:val="000000" w:themeColor="text1"/>
                <w:sz w:val="20"/>
                <w:szCs w:val="20"/>
              </w:rPr>
              <w:t xml:space="preserve">       </w:t>
            </w:r>
            <w:r w:rsidRPr="00672CF3">
              <w:rPr>
                <w:rFonts w:cs="Arial"/>
                <w:bCs/>
                <w:color w:val="000000" w:themeColor="text1"/>
                <w:sz w:val="20"/>
                <w:szCs w:val="20"/>
              </w:rPr>
              <w:t xml:space="preserve">Optic disc hyperfluorescence (FA) </w:t>
            </w:r>
          </w:p>
          <w:p w14:paraId="1C8A9D43" w14:textId="77777777" w:rsidR="00A55B63" w:rsidRPr="00672CF3" w:rsidRDefault="00A55B63" w:rsidP="00355294">
            <w:pPr>
              <w:pBdr>
                <w:top w:val="nil"/>
                <w:left w:val="nil"/>
                <w:bottom w:val="nil"/>
                <w:right w:val="nil"/>
                <w:between w:val="nil"/>
              </w:pBdr>
              <w:contextualSpacing/>
              <w:rPr>
                <w:rFonts w:cs="Arial"/>
                <w:bCs/>
                <w:color w:val="000000" w:themeColor="text1"/>
                <w:sz w:val="20"/>
                <w:szCs w:val="20"/>
              </w:rPr>
            </w:pPr>
            <w:r w:rsidRPr="00672CF3">
              <w:rPr>
                <w:rFonts w:cs="Arial"/>
                <w:bCs/>
                <w:color w:val="000000" w:themeColor="text1"/>
                <w:sz w:val="20"/>
                <w:szCs w:val="20"/>
              </w:rPr>
              <w:t xml:space="preserve">       Perivascular leakage (FA)</w:t>
            </w:r>
          </w:p>
          <w:p w14:paraId="0CBFD548" w14:textId="77777777" w:rsidR="00A55B63" w:rsidRPr="00672CF3" w:rsidRDefault="00A55B63" w:rsidP="00355294">
            <w:pPr>
              <w:pBdr>
                <w:top w:val="nil"/>
                <w:left w:val="nil"/>
                <w:bottom w:val="nil"/>
                <w:right w:val="nil"/>
                <w:between w:val="nil"/>
              </w:pBdr>
              <w:contextualSpacing/>
              <w:rPr>
                <w:rFonts w:cs="Arial"/>
                <w:bCs/>
                <w:color w:val="000000" w:themeColor="text1"/>
                <w:sz w:val="20"/>
                <w:szCs w:val="20"/>
              </w:rPr>
            </w:pPr>
            <w:r w:rsidRPr="00672CF3">
              <w:rPr>
                <w:rFonts w:cs="Arial"/>
                <w:bCs/>
                <w:color w:val="000000" w:themeColor="text1"/>
                <w:sz w:val="20"/>
                <w:szCs w:val="20"/>
              </w:rPr>
              <w:t xml:space="preserve">       Dark dots (ICGA)</w:t>
            </w:r>
          </w:p>
          <w:p w14:paraId="3665D8A3" w14:textId="77777777" w:rsidR="00A55B63" w:rsidRPr="00672CF3" w:rsidRDefault="00A55B63" w:rsidP="00355294">
            <w:pPr>
              <w:pBdr>
                <w:top w:val="nil"/>
                <w:left w:val="nil"/>
                <w:bottom w:val="nil"/>
                <w:right w:val="nil"/>
                <w:between w:val="nil"/>
              </w:pBdr>
              <w:contextualSpacing/>
              <w:rPr>
                <w:rFonts w:cs="Arial"/>
                <w:b/>
                <w:color w:val="000000" w:themeColor="text1"/>
                <w:sz w:val="20"/>
                <w:szCs w:val="20"/>
              </w:rPr>
            </w:pPr>
            <w:r w:rsidRPr="00672CF3">
              <w:rPr>
                <w:rFonts w:cs="Arial"/>
                <w:bCs/>
                <w:color w:val="000000" w:themeColor="text1"/>
                <w:sz w:val="20"/>
                <w:szCs w:val="20"/>
              </w:rPr>
              <w:t xml:space="preserve">       Choroidal thickness fluctuation (OCT-EDI) </w:t>
            </w:r>
          </w:p>
        </w:tc>
        <w:tc>
          <w:tcPr>
            <w:tcW w:w="850" w:type="dxa"/>
          </w:tcPr>
          <w:p w14:paraId="7C34C8DE"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p>
          <w:p w14:paraId="100ADCD2"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p>
          <w:p w14:paraId="0BC6149F"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 xml:space="preserve">2 </w:t>
            </w:r>
          </w:p>
          <w:p w14:paraId="4911D14E"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 xml:space="preserve">5  </w:t>
            </w:r>
          </w:p>
          <w:p w14:paraId="4B978A5B"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p>
          <w:p w14:paraId="0FA3A9EA"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9</w:t>
            </w:r>
          </w:p>
          <w:p w14:paraId="14BA3C38"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4</w:t>
            </w:r>
          </w:p>
          <w:p w14:paraId="47A4EB63"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36</w:t>
            </w:r>
          </w:p>
          <w:p w14:paraId="1CE713E7"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13</w:t>
            </w:r>
          </w:p>
        </w:tc>
        <w:tc>
          <w:tcPr>
            <w:tcW w:w="743" w:type="dxa"/>
          </w:tcPr>
          <w:p w14:paraId="67F33DB6"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themeColor="text1"/>
                <w:sz w:val="20"/>
                <w:szCs w:val="20"/>
              </w:rPr>
            </w:pPr>
          </w:p>
          <w:p w14:paraId="7993632E"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themeColor="text1"/>
                <w:sz w:val="20"/>
                <w:szCs w:val="20"/>
              </w:rPr>
            </w:pPr>
          </w:p>
          <w:p w14:paraId="2650C36A"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r w:rsidRPr="00672CF3">
              <w:rPr>
                <w:rFonts w:cs="Arial"/>
                <w:color w:val="000000" w:themeColor="text1"/>
                <w:sz w:val="20"/>
                <w:szCs w:val="20"/>
              </w:rPr>
              <w:t>5</w:t>
            </w:r>
          </w:p>
          <w:p w14:paraId="03657BF9" w14:textId="77777777" w:rsidR="00A55B63" w:rsidRPr="00672CF3" w:rsidRDefault="00A55B63" w:rsidP="00355294">
            <w:pPr>
              <w:pBdr>
                <w:top w:val="nil"/>
                <w:left w:val="nil"/>
                <w:bottom w:val="nil"/>
                <w:right w:val="nil"/>
                <w:between w:val="nil"/>
              </w:pBdr>
              <w:tabs>
                <w:tab w:val="left" w:pos="497"/>
              </w:tabs>
              <w:ind w:left="497" w:hanging="497"/>
              <w:contextualSpacing/>
              <w:rPr>
                <w:rFonts w:cs="Arial"/>
                <w:color w:val="000000" w:themeColor="text1"/>
                <w:sz w:val="20"/>
                <w:szCs w:val="20"/>
              </w:rPr>
            </w:pPr>
            <w:r w:rsidRPr="00672CF3">
              <w:rPr>
                <w:rFonts w:cs="Arial"/>
                <w:color w:val="000000" w:themeColor="text1"/>
                <w:sz w:val="20"/>
                <w:szCs w:val="20"/>
              </w:rPr>
              <w:t>14</w:t>
            </w:r>
          </w:p>
          <w:p w14:paraId="6751B75A"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p>
          <w:p w14:paraId="44F3E4DE"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r w:rsidRPr="00672CF3">
              <w:rPr>
                <w:rFonts w:cs="Arial"/>
                <w:color w:val="000000" w:themeColor="text1"/>
                <w:sz w:val="20"/>
                <w:szCs w:val="20"/>
              </w:rPr>
              <w:t>25</w:t>
            </w:r>
          </w:p>
          <w:p w14:paraId="5B9FE513"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r w:rsidRPr="00672CF3">
              <w:rPr>
                <w:rFonts w:cs="Arial"/>
                <w:color w:val="000000" w:themeColor="text1"/>
                <w:sz w:val="20"/>
                <w:szCs w:val="20"/>
              </w:rPr>
              <w:t>11</w:t>
            </w:r>
          </w:p>
          <w:p w14:paraId="2023EE3C"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r w:rsidRPr="00672CF3">
              <w:rPr>
                <w:rFonts w:cs="Arial"/>
                <w:color w:val="000000" w:themeColor="text1"/>
                <w:sz w:val="20"/>
                <w:szCs w:val="20"/>
              </w:rPr>
              <w:t>100</w:t>
            </w:r>
          </w:p>
          <w:p w14:paraId="1D772F98" w14:textId="77777777" w:rsidR="00A55B63" w:rsidRPr="00672CF3" w:rsidRDefault="00A55B63" w:rsidP="00355294">
            <w:pPr>
              <w:pBdr>
                <w:top w:val="nil"/>
                <w:left w:val="nil"/>
                <w:bottom w:val="nil"/>
                <w:right w:val="nil"/>
                <w:between w:val="nil"/>
              </w:pBdr>
              <w:tabs>
                <w:tab w:val="left" w:pos="497"/>
              </w:tabs>
              <w:contextualSpacing/>
              <w:rPr>
                <w:rFonts w:cs="Arial"/>
                <w:color w:val="000000" w:themeColor="text1"/>
                <w:sz w:val="20"/>
                <w:szCs w:val="20"/>
              </w:rPr>
            </w:pPr>
            <w:r w:rsidRPr="00672CF3">
              <w:rPr>
                <w:rFonts w:cs="Arial"/>
                <w:color w:val="000000" w:themeColor="text1"/>
                <w:sz w:val="20"/>
                <w:szCs w:val="20"/>
              </w:rPr>
              <w:t>36</w:t>
            </w:r>
          </w:p>
        </w:tc>
      </w:tr>
      <w:tr w:rsidR="00A55B63" w:rsidRPr="00672CF3" w14:paraId="22FF1CBD" w14:textId="77777777" w:rsidTr="00355294">
        <w:tc>
          <w:tcPr>
            <w:tcW w:w="6771" w:type="dxa"/>
            <w:tcBorders>
              <w:bottom w:val="single" w:sz="24" w:space="0" w:color="auto"/>
            </w:tcBorders>
            <w:shd w:val="clear" w:color="auto" w:fill="D9D9D9" w:themeFill="background1" w:themeFillShade="D9"/>
          </w:tcPr>
          <w:p w14:paraId="6C22FAB2"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lang w:val="pt-BR"/>
              </w:rPr>
            </w:pPr>
            <w:r w:rsidRPr="00672CF3">
              <w:rPr>
                <w:rFonts w:cs="Arial"/>
                <w:b/>
                <w:color w:val="000000" w:themeColor="text1"/>
                <w:sz w:val="20"/>
                <w:szCs w:val="20"/>
                <w:lang w:val="pt-BR"/>
              </w:rPr>
              <w:t xml:space="preserve">ffERG, </w:t>
            </w:r>
            <w:r w:rsidRPr="00672CF3">
              <w:rPr>
                <w:rFonts w:cs="Arial"/>
                <w:color w:val="000000" w:themeColor="text1"/>
                <w:sz w:val="20"/>
                <w:szCs w:val="20"/>
                <w:lang w:val="pt-BR"/>
              </w:rPr>
              <w:t xml:space="preserve">n (%) </w:t>
            </w:r>
          </w:p>
          <w:p w14:paraId="14F8767B"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lang w:val="pt-BR"/>
              </w:rPr>
            </w:pPr>
            <w:r w:rsidRPr="00672CF3">
              <w:rPr>
                <w:rFonts w:cs="Arial"/>
                <w:color w:val="000000" w:themeColor="text1"/>
                <w:sz w:val="20"/>
                <w:szCs w:val="20"/>
                <w:lang w:val="pt-BR"/>
              </w:rPr>
              <w:t xml:space="preserve">   Normal*</w:t>
            </w:r>
          </w:p>
          <w:p w14:paraId="1AE5F945" w14:textId="77777777" w:rsidR="00A55B63" w:rsidRPr="00672CF3" w:rsidRDefault="00A55B63" w:rsidP="00355294">
            <w:pPr>
              <w:ind w:right="-716"/>
              <w:contextualSpacing/>
              <w:rPr>
                <w:rFonts w:cs="Arial"/>
                <w:bCs/>
                <w:color w:val="000000" w:themeColor="text1"/>
                <w:sz w:val="20"/>
                <w:szCs w:val="20"/>
                <w:lang w:val="pt-BR"/>
              </w:rPr>
            </w:pPr>
            <w:r w:rsidRPr="00672CF3">
              <w:rPr>
                <w:rFonts w:cs="Arial"/>
                <w:color w:val="000000" w:themeColor="text1"/>
                <w:sz w:val="20"/>
                <w:szCs w:val="20"/>
                <w:lang w:val="pt-BR"/>
              </w:rPr>
              <w:t xml:space="preserve">   Abnormal</w:t>
            </w:r>
          </w:p>
        </w:tc>
        <w:tc>
          <w:tcPr>
            <w:tcW w:w="850" w:type="dxa"/>
            <w:tcBorders>
              <w:bottom w:val="single" w:sz="24" w:space="0" w:color="auto"/>
            </w:tcBorders>
            <w:shd w:val="clear" w:color="auto" w:fill="D9D9D9" w:themeFill="background1" w:themeFillShade="D9"/>
          </w:tcPr>
          <w:p w14:paraId="03988278"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lang w:val="pt-BR"/>
              </w:rPr>
            </w:pPr>
          </w:p>
          <w:p w14:paraId="0CD1E421"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12</w:t>
            </w:r>
          </w:p>
          <w:p w14:paraId="6B2971BE" w14:textId="77777777" w:rsidR="00A55B63" w:rsidRPr="00672CF3" w:rsidRDefault="00A55B63" w:rsidP="00355294">
            <w:pPr>
              <w:ind w:right="-716"/>
              <w:contextualSpacing/>
              <w:rPr>
                <w:rFonts w:cs="Arial"/>
                <w:bCs/>
                <w:color w:val="000000" w:themeColor="text1"/>
                <w:sz w:val="20"/>
                <w:szCs w:val="20"/>
                <w:lang w:val="pt-BR"/>
              </w:rPr>
            </w:pPr>
            <w:r w:rsidRPr="00672CF3">
              <w:rPr>
                <w:rFonts w:cs="Arial"/>
                <w:color w:val="000000" w:themeColor="text1"/>
                <w:sz w:val="20"/>
                <w:szCs w:val="20"/>
              </w:rPr>
              <w:t>6</w:t>
            </w:r>
          </w:p>
        </w:tc>
        <w:tc>
          <w:tcPr>
            <w:tcW w:w="743" w:type="dxa"/>
            <w:tcBorders>
              <w:bottom w:val="single" w:sz="24" w:space="0" w:color="auto"/>
            </w:tcBorders>
            <w:shd w:val="clear" w:color="auto" w:fill="D9D9D9" w:themeFill="background1" w:themeFillShade="D9"/>
          </w:tcPr>
          <w:p w14:paraId="2FFD8939"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p>
          <w:p w14:paraId="2C862BA5" w14:textId="77777777" w:rsidR="00A55B63" w:rsidRPr="00672CF3" w:rsidRDefault="00A55B63" w:rsidP="00355294">
            <w:pPr>
              <w:pBdr>
                <w:top w:val="nil"/>
                <w:left w:val="nil"/>
                <w:bottom w:val="nil"/>
                <w:right w:val="nil"/>
                <w:between w:val="nil"/>
              </w:pBdr>
              <w:contextualSpacing/>
              <w:rPr>
                <w:rFonts w:cs="Arial"/>
                <w:color w:val="000000" w:themeColor="text1"/>
                <w:sz w:val="20"/>
                <w:szCs w:val="20"/>
              </w:rPr>
            </w:pPr>
            <w:r w:rsidRPr="00672CF3">
              <w:rPr>
                <w:rFonts w:cs="Arial"/>
                <w:color w:val="000000" w:themeColor="text1"/>
                <w:sz w:val="20"/>
                <w:szCs w:val="20"/>
              </w:rPr>
              <w:t>67</w:t>
            </w:r>
          </w:p>
          <w:p w14:paraId="32452DE9" w14:textId="77777777" w:rsidR="00A55B63" w:rsidRPr="00672CF3" w:rsidRDefault="00A55B63" w:rsidP="00355294">
            <w:pPr>
              <w:ind w:right="-716"/>
              <w:contextualSpacing/>
              <w:rPr>
                <w:rFonts w:cs="Arial"/>
                <w:bCs/>
                <w:color w:val="000000" w:themeColor="text1"/>
                <w:sz w:val="20"/>
                <w:szCs w:val="20"/>
                <w:lang w:val="pt-BR"/>
              </w:rPr>
            </w:pPr>
            <w:r w:rsidRPr="00672CF3">
              <w:rPr>
                <w:rFonts w:cs="Arial"/>
                <w:color w:val="000000" w:themeColor="text1"/>
                <w:sz w:val="20"/>
                <w:szCs w:val="20"/>
              </w:rPr>
              <w:t>33</w:t>
            </w:r>
          </w:p>
        </w:tc>
      </w:tr>
    </w:tbl>
    <w:p w14:paraId="45AB1C54" w14:textId="1B3BD448" w:rsidR="00A55B63" w:rsidRPr="00CF4697" w:rsidRDefault="00A55B63" w:rsidP="00A55B63">
      <w:pPr>
        <w:pBdr>
          <w:top w:val="nil"/>
          <w:left w:val="nil"/>
          <w:bottom w:val="nil"/>
          <w:right w:val="nil"/>
          <w:between w:val="nil"/>
        </w:pBdr>
        <w:ind w:right="276"/>
        <w:rPr>
          <w:rFonts w:cs="Arial"/>
          <w:color w:val="000000" w:themeColor="text1"/>
          <w:sz w:val="18"/>
          <w:szCs w:val="18"/>
          <w:lang w:val="en-US"/>
        </w:rPr>
      </w:pPr>
      <w:r w:rsidRPr="00CF4697">
        <w:rPr>
          <w:rFonts w:cs="Arial"/>
          <w:color w:val="000000" w:themeColor="text1"/>
          <w:sz w:val="18"/>
          <w:szCs w:val="18"/>
          <w:lang w:val="en-US"/>
        </w:rPr>
        <w:t>FA: fluorescent angiography; ffERG: full-field electroretinogram; ICGA: indocyanine green angiography;</w:t>
      </w:r>
      <w:r w:rsidR="00672CF3" w:rsidRPr="00CF4697">
        <w:rPr>
          <w:rFonts w:cs="Arial"/>
          <w:color w:val="000000" w:themeColor="text1"/>
          <w:sz w:val="18"/>
          <w:szCs w:val="18"/>
          <w:lang w:val="en-US"/>
        </w:rPr>
        <w:t xml:space="preserve"> </w:t>
      </w:r>
      <w:r w:rsidRPr="00CF4697">
        <w:rPr>
          <w:rFonts w:cs="Arial"/>
          <w:color w:val="000000" w:themeColor="text1"/>
          <w:sz w:val="18"/>
          <w:szCs w:val="18"/>
          <w:lang w:val="en-US"/>
        </w:rPr>
        <w:t>OCT-EDI: enhanced-depth imaging optical coherence tomography; *scotopic parameters in both eyes were within the limit of ±2SD in comparison with a normative database adjusted for age range</w:t>
      </w:r>
    </w:p>
    <w:p w14:paraId="22AFDB3F" w14:textId="4F121CC7" w:rsidR="00A55B63" w:rsidRPr="00BE4CF5" w:rsidRDefault="00A55B63" w:rsidP="00BE4CF5">
      <w:pPr>
        <w:rPr>
          <w:rFonts w:cs="Arial"/>
          <w:b/>
          <w:sz w:val="20"/>
          <w:szCs w:val="20"/>
          <w:lang w:val="en-US"/>
        </w:rPr>
      </w:pPr>
    </w:p>
    <w:p w14:paraId="4F7AB3BD" w14:textId="77777777" w:rsidR="00A55B63" w:rsidRPr="00672CF3" w:rsidRDefault="00A55B63" w:rsidP="00A55B63">
      <w:pPr>
        <w:pStyle w:val="NormalWeb"/>
        <w:spacing w:before="240"/>
        <w:ind w:left="-1418" w:right="-1000"/>
        <w:contextualSpacing/>
        <w:jc w:val="center"/>
        <w:rPr>
          <w:rFonts w:cs="Arial"/>
          <w:color w:val="000000" w:themeColor="text1"/>
          <w:sz w:val="20"/>
          <w:szCs w:val="20"/>
          <w:lang w:val="en-US"/>
        </w:rPr>
      </w:pPr>
      <w:r w:rsidRPr="00672CF3">
        <w:rPr>
          <w:rFonts w:cs="Arial"/>
          <w:b/>
          <w:noProof/>
          <w:sz w:val="20"/>
          <w:szCs w:val="20"/>
          <w:lang w:val="en-US" w:eastAsia="en-US"/>
        </w:rPr>
        <w:lastRenderedPageBreak/>
        <w:drawing>
          <wp:inline distT="0" distB="0" distL="0" distR="0" wp14:anchorId="30B50338" wp14:editId="2B494021">
            <wp:extent cx="5114876" cy="3067308"/>
            <wp:effectExtent l="0" t="0" r="1651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384508" w14:textId="77777777" w:rsidR="001132CC" w:rsidRPr="008B2CC8" w:rsidRDefault="001132CC" w:rsidP="00672CF3">
      <w:pPr>
        <w:pStyle w:val="NormalWeb"/>
        <w:spacing w:before="240"/>
        <w:ind w:right="539"/>
        <w:contextualSpacing/>
        <w:rPr>
          <w:rFonts w:cs="Arial"/>
          <w:sz w:val="18"/>
          <w:szCs w:val="18"/>
          <w:lang w:val="en-US"/>
        </w:rPr>
      </w:pPr>
      <w:r w:rsidRPr="00672CF3">
        <w:rPr>
          <w:rFonts w:cs="Arial"/>
          <w:b/>
          <w:sz w:val="20"/>
          <w:szCs w:val="20"/>
          <w:lang w:val="en-US"/>
        </w:rPr>
        <w:t>Figure 1:</w:t>
      </w:r>
      <w:r w:rsidRPr="00672CF3">
        <w:rPr>
          <w:rFonts w:cs="Arial"/>
          <w:bCs/>
          <w:sz w:val="20"/>
          <w:szCs w:val="20"/>
          <w:lang w:val="en-US"/>
        </w:rPr>
        <w:t xml:space="preserve"> Comparisons of central sensitivity, fovea, MD and PSD values on standard automated perimetry and N1 and P1 amplitudes of multifocal electroretinogram among subgroups of patients </w:t>
      </w:r>
      <w:r w:rsidRPr="008B2CC8">
        <w:rPr>
          <w:rFonts w:cs="Arial"/>
          <w:bCs/>
          <w:sz w:val="18"/>
          <w:szCs w:val="18"/>
          <w:lang w:val="en-US"/>
        </w:rPr>
        <w:t>with</w:t>
      </w:r>
      <w:r w:rsidRPr="008B2CC8">
        <w:rPr>
          <w:rFonts w:cs="Arial"/>
          <w:sz w:val="18"/>
          <w:szCs w:val="18"/>
          <w:lang w:val="en-US"/>
        </w:rPr>
        <w:t xml:space="preserve"> Vogt-Koyanagi-Harada disease and normal controls (p&lt;0.05</w:t>
      </w:r>
      <w:r w:rsidRPr="008B2CC8">
        <w:rPr>
          <w:rFonts w:cs="Arial"/>
          <w:b/>
          <w:iCs/>
          <w:color w:val="000000" w:themeColor="text1"/>
          <w:sz w:val="18"/>
          <w:szCs w:val="18"/>
          <w:lang w:val="en-US"/>
        </w:rPr>
        <w:t>†</w:t>
      </w:r>
      <w:r w:rsidRPr="008B2CC8">
        <w:rPr>
          <w:rFonts w:cs="Arial"/>
          <w:sz w:val="18"/>
          <w:szCs w:val="18"/>
          <w:lang w:val="en-US"/>
        </w:rPr>
        <w:t xml:space="preserve">) </w:t>
      </w:r>
    </w:p>
    <w:p w14:paraId="1E5A1B59" w14:textId="067223A3" w:rsidR="00A55B63" w:rsidRPr="00CF4697" w:rsidRDefault="00A55B63" w:rsidP="00672CF3">
      <w:pPr>
        <w:pStyle w:val="NormalWeb"/>
        <w:spacing w:before="240"/>
        <w:ind w:right="539"/>
        <w:contextualSpacing/>
        <w:rPr>
          <w:rFonts w:cs="Arial"/>
          <w:color w:val="000000" w:themeColor="text1"/>
          <w:sz w:val="18"/>
          <w:szCs w:val="18"/>
          <w:lang w:val="en-US"/>
        </w:rPr>
      </w:pPr>
      <w:r w:rsidRPr="008B2CC8">
        <w:rPr>
          <w:rFonts w:cs="Arial"/>
          <w:color w:val="000000" w:themeColor="text1"/>
          <w:sz w:val="18"/>
          <w:szCs w:val="18"/>
          <w:lang w:val="en-US"/>
        </w:rPr>
        <w:t xml:space="preserve">MD: mean deviation; PSD: pattern standard deviation; Group 1, intact </w:t>
      </w:r>
      <w:r w:rsidR="008B2CC8" w:rsidRPr="008B2CC8">
        <w:rPr>
          <w:sz w:val="18"/>
          <w:szCs w:val="18"/>
          <w:lang w:val="en-US"/>
        </w:rPr>
        <w:t>ellipsoid zone</w:t>
      </w:r>
      <w:r w:rsidR="008B2CC8" w:rsidRPr="008B2CC8">
        <w:rPr>
          <w:rFonts w:cs="Arial"/>
          <w:color w:val="000000" w:themeColor="text1"/>
          <w:sz w:val="18"/>
          <w:szCs w:val="18"/>
          <w:lang w:val="en-US"/>
        </w:rPr>
        <w:t xml:space="preserve"> </w:t>
      </w:r>
      <w:r w:rsidRPr="008B2CC8">
        <w:rPr>
          <w:rFonts w:cs="Arial"/>
          <w:color w:val="000000" w:themeColor="text1"/>
          <w:sz w:val="18"/>
          <w:szCs w:val="18"/>
          <w:lang w:val="en-US"/>
        </w:rPr>
        <w:t xml:space="preserve">line; Group 2, focal disruption of the </w:t>
      </w:r>
      <w:r w:rsidR="008B2CC8" w:rsidRPr="008B2CC8">
        <w:rPr>
          <w:sz w:val="18"/>
          <w:szCs w:val="18"/>
          <w:lang w:val="en-US"/>
        </w:rPr>
        <w:t>ellipsoid zone</w:t>
      </w:r>
      <w:r w:rsidR="008B2CC8" w:rsidRPr="008B2CC8">
        <w:rPr>
          <w:rFonts w:cs="Arial"/>
          <w:color w:val="000000" w:themeColor="text1"/>
          <w:sz w:val="18"/>
          <w:szCs w:val="18"/>
          <w:lang w:val="en-US"/>
        </w:rPr>
        <w:t xml:space="preserve"> line </w:t>
      </w:r>
      <w:r w:rsidRPr="008B2CC8">
        <w:rPr>
          <w:rFonts w:cs="Arial"/>
          <w:color w:val="000000" w:themeColor="text1"/>
          <w:sz w:val="18"/>
          <w:szCs w:val="18"/>
          <w:lang w:val="en-US"/>
        </w:rPr>
        <w:t>of 500</w:t>
      </w:r>
      <w:r w:rsidRPr="008B2CC8">
        <w:rPr>
          <w:rFonts w:cs="Arial"/>
          <w:bCs/>
          <w:color w:val="000000"/>
          <w:sz w:val="18"/>
          <w:szCs w:val="18"/>
          <w:lang w:val="en-US"/>
        </w:rPr>
        <w:t>µm</w:t>
      </w:r>
      <w:r w:rsidRPr="008B2CC8">
        <w:rPr>
          <w:rFonts w:cs="Arial"/>
          <w:color w:val="000000" w:themeColor="text1"/>
          <w:sz w:val="18"/>
          <w:szCs w:val="18"/>
          <w:lang w:val="en-US"/>
        </w:rPr>
        <w:t xml:space="preserve"> or less; Group 3, focal disruption of the </w:t>
      </w:r>
      <w:r w:rsidR="008B2CC8" w:rsidRPr="008B2CC8">
        <w:rPr>
          <w:sz w:val="18"/>
          <w:szCs w:val="18"/>
          <w:lang w:val="en-US"/>
        </w:rPr>
        <w:t>ellipsoid zone</w:t>
      </w:r>
      <w:r w:rsidR="008B2CC8" w:rsidRPr="008B2CC8">
        <w:rPr>
          <w:rFonts w:cs="Arial"/>
          <w:color w:val="000000" w:themeColor="text1"/>
          <w:sz w:val="18"/>
          <w:szCs w:val="18"/>
          <w:lang w:val="en-US"/>
        </w:rPr>
        <w:t xml:space="preserve"> line </w:t>
      </w:r>
      <w:r w:rsidRPr="008B2CC8">
        <w:rPr>
          <w:rFonts w:cs="Arial"/>
          <w:color w:val="000000" w:themeColor="text1"/>
          <w:sz w:val="18"/>
          <w:szCs w:val="18"/>
          <w:lang w:val="en-US"/>
        </w:rPr>
        <w:t>greater than 500</w:t>
      </w:r>
      <w:r w:rsidRPr="008B2CC8">
        <w:rPr>
          <w:rFonts w:cs="Arial"/>
          <w:bCs/>
          <w:color w:val="000000"/>
          <w:sz w:val="18"/>
          <w:szCs w:val="18"/>
          <w:lang w:val="en-US"/>
        </w:rPr>
        <w:t>µm</w:t>
      </w:r>
      <w:r w:rsidRPr="008B2CC8">
        <w:rPr>
          <w:rFonts w:cs="Arial"/>
          <w:color w:val="000000" w:themeColor="text1"/>
          <w:sz w:val="18"/>
          <w:szCs w:val="18"/>
          <w:lang w:val="en-US"/>
        </w:rPr>
        <w:t xml:space="preserve">; </w:t>
      </w:r>
      <w:r w:rsidRPr="008B2CC8">
        <w:rPr>
          <w:rFonts w:cs="Arial"/>
          <w:b/>
          <w:iCs/>
          <w:color w:val="000000" w:themeColor="text1"/>
          <w:sz w:val="18"/>
          <w:szCs w:val="18"/>
          <w:lang w:val="en-US"/>
        </w:rPr>
        <w:t>†</w:t>
      </w:r>
      <w:r w:rsidRPr="008B2CC8">
        <w:rPr>
          <w:rFonts w:cs="Arial"/>
          <w:color w:val="000000" w:themeColor="text1"/>
          <w:sz w:val="18"/>
          <w:szCs w:val="18"/>
          <w:lang w:val="en-US"/>
        </w:rPr>
        <w:t xml:space="preserve">Generalized estimated equations with normal distribution and logarithmic link function, supposing an interchangeable correlation matrix between the eyes; Concerning patients’ subgroups based on </w:t>
      </w:r>
      <w:r w:rsidR="008B2CC8" w:rsidRPr="008B2CC8">
        <w:rPr>
          <w:sz w:val="18"/>
          <w:szCs w:val="18"/>
          <w:lang w:val="en-US"/>
        </w:rPr>
        <w:t>ellipsoid zone</w:t>
      </w:r>
      <w:r w:rsidR="008B2CC8" w:rsidRPr="008B2CC8">
        <w:rPr>
          <w:rFonts w:cs="Arial"/>
          <w:color w:val="000000" w:themeColor="text1"/>
          <w:sz w:val="18"/>
          <w:szCs w:val="18"/>
          <w:lang w:val="en-US"/>
        </w:rPr>
        <w:t xml:space="preserve"> line </w:t>
      </w:r>
      <w:r w:rsidRPr="008B2CC8">
        <w:rPr>
          <w:rFonts w:cs="Arial"/>
          <w:color w:val="000000" w:themeColor="text1"/>
          <w:sz w:val="18"/>
          <w:szCs w:val="18"/>
          <w:lang w:val="en-US"/>
        </w:rPr>
        <w:t>integrity, after</w:t>
      </w:r>
      <w:r w:rsidRPr="00CF4697">
        <w:rPr>
          <w:rFonts w:cs="Arial"/>
          <w:color w:val="000000" w:themeColor="text1"/>
          <w:sz w:val="18"/>
          <w:szCs w:val="18"/>
          <w:lang w:val="en-US"/>
        </w:rPr>
        <w:t xml:space="preserve"> multiple comparison post hoc (Bonferroni correction for multiple comparison) significance was observed between the following: for N1 amplitude </w:t>
      </w:r>
      <w:r w:rsidRPr="00CF4697">
        <w:rPr>
          <w:rFonts w:cs="Arial"/>
          <w:bCs/>
          <w:color w:val="000000"/>
          <w:sz w:val="18"/>
          <w:szCs w:val="18"/>
          <w:lang w:val="en-US"/>
        </w:rPr>
        <w:t>(µV/deg</w:t>
      </w:r>
      <w:r w:rsidRPr="00CF4697">
        <w:rPr>
          <w:rFonts w:cs="Arial"/>
          <w:bCs/>
          <w:color w:val="000000"/>
          <w:sz w:val="18"/>
          <w:szCs w:val="18"/>
          <w:vertAlign w:val="superscript"/>
          <w:lang w:val="en-US"/>
        </w:rPr>
        <w:t>2</w:t>
      </w:r>
      <w:r w:rsidRPr="00CF4697">
        <w:rPr>
          <w:rFonts w:cs="Arial"/>
          <w:bCs/>
          <w:color w:val="000000"/>
          <w:sz w:val="18"/>
          <w:szCs w:val="18"/>
          <w:lang w:val="en-US"/>
        </w:rPr>
        <w:t xml:space="preserve">), </w:t>
      </w:r>
      <w:r w:rsidRPr="00CF4697">
        <w:rPr>
          <w:rFonts w:cs="Arial"/>
          <w:color w:val="000000" w:themeColor="text1"/>
          <w:sz w:val="18"/>
          <w:szCs w:val="18"/>
          <w:lang w:val="en-US"/>
        </w:rPr>
        <w:t xml:space="preserve">group 1 </w:t>
      </w:r>
      <w:r w:rsidRPr="00CF4697">
        <w:rPr>
          <w:rFonts w:cs="Arial"/>
          <w:i/>
          <w:iCs/>
          <w:color w:val="000000" w:themeColor="text1"/>
          <w:sz w:val="18"/>
          <w:szCs w:val="18"/>
          <w:lang w:val="en-US"/>
        </w:rPr>
        <w:t>versus</w:t>
      </w:r>
      <w:r w:rsidRPr="00CF4697">
        <w:rPr>
          <w:rFonts w:cs="Arial"/>
          <w:color w:val="000000" w:themeColor="text1"/>
          <w:sz w:val="18"/>
          <w:szCs w:val="18"/>
          <w:lang w:val="en-US"/>
        </w:rPr>
        <w:t xml:space="preserve"> group 2 (p=0.001), for P1 amplitude </w:t>
      </w:r>
      <w:r w:rsidRPr="00CF4697">
        <w:rPr>
          <w:rFonts w:cs="Arial"/>
          <w:bCs/>
          <w:color w:val="000000"/>
          <w:sz w:val="18"/>
          <w:szCs w:val="18"/>
          <w:lang w:val="en-US"/>
        </w:rPr>
        <w:t>(µV/deg</w:t>
      </w:r>
      <w:r w:rsidRPr="00CF4697">
        <w:rPr>
          <w:rFonts w:cs="Arial"/>
          <w:bCs/>
          <w:color w:val="000000"/>
          <w:sz w:val="18"/>
          <w:szCs w:val="18"/>
          <w:vertAlign w:val="superscript"/>
          <w:lang w:val="en-US"/>
        </w:rPr>
        <w:t>2</w:t>
      </w:r>
      <w:r w:rsidRPr="00CF4697">
        <w:rPr>
          <w:rFonts w:cs="Arial"/>
          <w:bCs/>
          <w:color w:val="000000"/>
          <w:sz w:val="18"/>
          <w:szCs w:val="18"/>
          <w:lang w:val="en-US"/>
        </w:rPr>
        <w:t xml:space="preserve">), </w:t>
      </w:r>
      <w:r w:rsidRPr="00CF4697">
        <w:rPr>
          <w:rFonts w:cs="Arial"/>
          <w:color w:val="000000" w:themeColor="text1"/>
          <w:sz w:val="18"/>
          <w:szCs w:val="18"/>
          <w:lang w:val="en-US"/>
        </w:rPr>
        <w:t xml:space="preserve">group 1 </w:t>
      </w:r>
      <w:r w:rsidRPr="00CF4697">
        <w:rPr>
          <w:rFonts w:cs="Arial"/>
          <w:i/>
          <w:iCs/>
          <w:color w:val="000000" w:themeColor="text1"/>
          <w:sz w:val="18"/>
          <w:szCs w:val="18"/>
          <w:lang w:val="en-US"/>
        </w:rPr>
        <w:t>versus</w:t>
      </w:r>
      <w:r w:rsidRPr="00CF4697">
        <w:rPr>
          <w:rFonts w:cs="Arial"/>
          <w:color w:val="000000" w:themeColor="text1"/>
          <w:sz w:val="18"/>
          <w:szCs w:val="18"/>
          <w:lang w:val="en-US"/>
        </w:rPr>
        <w:t xml:space="preserve"> group 2 (p=0.043); for CS (dB), group 1 </w:t>
      </w:r>
      <w:r w:rsidRPr="00CF4697">
        <w:rPr>
          <w:rFonts w:cs="Arial"/>
          <w:i/>
          <w:iCs/>
          <w:color w:val="000000" w:themeColor="text1"/>
          <w:sz w:val="18"/>
          <w:szCs w:val="18"/>
          <w:lang w:val="en-US"/>
        </w:rPr>
        <w:t>versus</w:t>
      </w:r>
      <w:r w:rsidRPr="00CF4697">
        <w:rPr>
          <w:rFonts w:cs="Arial"/>
          <w:color w:val="000000" w:themeColor="text1"/>
          <w:sz w:val="18"/>
          <w:szCs w:val="18"/>
          <w:lang w:val="en-US"/>
        </w:rPr>
        <w:t xml:space="preserve"> group 3 (p=0.005); for fovea (dB), group 1 </w:t>
      </w:r>
      <w:r w:rsidRPr="00CF4697">
        <w:rPr>
          <w:rFonts w:cs="Arial"/>
          <w:i/>
          <w:iCs/>
          <w:color w:val="000000" w:themeColor="text1"/>
          <w:sz w:val="18"/>
          <w:szCs w:val="18"/>
          <w:lang w:val="en-US"/>
        </w:rPr>
        <w:t xml:space="preserve">versus </w:t>
      </w:r>
      <w:r w:rsidRPr="00CF4697">
        <w:rPr>
          <w:rFonts w:cs="Arial"/>
          <w:color w:val="000000" w:themeColor="text1"/>
          <w:sz w:val="18"/>
          <w:szCs w:val="18"/>
          <w:lang w:val="en-US"/>
        </w:rPr>
        <w:t xml:space="preserve">group 3 (p=0.042); for MD (dB), group 1 </w:t>
      </w:r>
      <w:r w:rsidRPr="00CF4697">
        <w:rPr>
          <w:rFonts w:cs="Arial"/>
          <w:i/>
          <w:iCs/>
          <w:color w:val="000000" w:themeColor="text1"/>
          <w:sz w:val="18"/>
          <w:szCs w:val="18"/>
          <w:lang w:val="en-US"/>
        </w:rPr>
        <w:t>versus</w:t>
      </w:r>
      <w:r w:rsidRPr="00CF4697">
        <w:rPr>
          <w:rFonts w:cs="Arial"/>
          <w:color w:val="000000" w:themeColor="text1"/>
          <w:sz w:val="18"/>
          <w:szCs w:val="18"/>
          <w:lang w:val="en-US"/>
        </w:rPr>
        <w:t xml:space="preserve"> group 3 (p=0.018); for PSD (dB), group 1 </w:t>
      </w:r>
      <w:r w:rsidRPr="00CF4697">
        <w:rPr>
          <w:rFonts w:cs="Arial"/>
          <w:i/>
          <w:iCs/>
          <w:color w:val="000000" w:themeColor="text1"/>
          <w:sz w:val="18"/>
          <w:szCs w:val="18"/>
          <w:lang w:val="en-US"/>
        </w:rPr>
        <w:t>versus</w:t>
      </w:r>
      <w:r w:rsidRPr="00CF4697">
        <w:rPr>
          <w:rFonts w:cs="Arial"/>
          <w:color w:val="000000" w:themeColor="text1"/>
          <w:sz w:val="18"/>
          <w:szCs w:val="18"/>
          <w:lang w:val="en-US"/>
        </w:rPr>
        <w:t xml:space="preserve"> group 2 (p=0.015)</w:t>
      </w:r>
    </w:p>
    <w:p w14:paraId="01D7F56F" w14:textId="77777777" w:rsidR="00A55B63" w:rsidRPr="008B2CC8" w:rsidRDefault="00A55B63" w:rsidP="00A55B63">
      <w:pPr>
        <w:spacing w:line="360" w:lineRule="auto"/>
        <w:jc w:val="both"/>
        <w:rPr>
          <w:rFonts w:cs="Arial"/>
          <w:b/>
          <w:bCs/>
          <w:sz w:val="22"/>
          <w:szCs w:val="22"/>
          <w:lang w:val="en-US"/>
        </w:rPr>
      </w:pPr>
      <w:r w:rsidRPr="008B2CC8">
        <w:rPr>
          <w:rFonts w:cs="Arial"/>
          <w:b/>
          <w:bCs/>
          <w:sz w:val="22"/>
          <w:szCs w:val="22"/>
          <w:lang w:val="en-US"/>
        </w:rPr>
        <w:t>DISCUSSION</w:t>
      </w:r>
    </w:p>
    <w:p w14:paraId="54EF5D78" w14:textId="131549F4" w:rsidR="00A55B63" w:rsidRPr="008B2CC8" w:rsidRDefault="006659E9" w:rsidP="00A55B63">
      <w:pPr>
        <w:spacing w:line="360" w:lineRule="auto"/>
        <w:ind w:firstLine="284"/>
        <w:rPr>
          <w:rFonts w:cs="Arial"/>
          <w:bCs/>
          <w:color w:val="000000" w:themeColor="text1"/>
          <w:sz w:val="22"/>
          <w:szCs w:val="22"/>
          <w:lang w:val="en-US"/>
        </w:rPr>
      </w:pPr>
      <w:r w:rsidRPr="008B2CC8">
        <w:rPr>
          <w:rFonts w:cs="Arial"/>
          <w:bCs/>
          <w:color w:val="000000" w:themeColor="text1"/>
          <w:sz w:val="22"/>
          <w:szCs w:val="22"/>
          <w:lang w:val="en-US"/>
        </w:rPr>
        <w:t>In the present study, p</w:t>
      </w:r>
      <w:r w:rsidR="00A55B63" w:rsidRPr="008B2CC8">
        <w:rPr>
          <w:rFonts w:cs="Arial"/>
          <w:bCs/>
          <w:color w:val="000000" w:themeColor="text1"/>
          <w:sz w:val="22"/>
          <w:szCs w:val="22"/>
          <w:lang w:val="en-US"/>
        </w:rPr>
        <w:t xml:space="preserve">atients with non-acute VKHD had good </w:t>
      </w:r>
      <w:r w:rsidRPr="008B2CC8">
        <w:rPr>
          <w:rFonts w:cs="Arial"/>
          <w:bCs/>
          <w:color w:val="000000" w:themeColor="text1"/>
          <w:sz w:val="22"/>
          <w:szCs w:val="22"/>
          <w:lang w:val="en-US"/>
        </w:rPr>
        <w:t>VA (</w:t>
      </w:r>
      <w:r w:rsidR="00A55B63" w:rsidRPr="008B2CC8">
        <w:rPr>
          <w:rFonts w:cs="Arial"/>
          <w:bCs/>
          <w:color w:val="000000" w:themeColor="text1"/>
          <w:sz w:val="22"/>
          <w:szCs w:val="22"/>
          <w:lang w:val="en-US"/>
        </w:rPr>
        <w:t>20/20 in 81%</w:t>
      </w:r>
      <w:r w:rsidR="00355294" w:rsidRPr="008B2CC8">
        <w:rPr>
          <w:rFonts w:cs="Arial"/>
          <w:bCs/>
          <w:color w:val="000000" w:themeColor="text1"/>
          <w:sz w:val="22"/>
          <w:szCs w:val="22"/>
          <w:lang w:val="en-US"/>
        </w:rPr>
        <w:t xml:space="preserve"> </w:t>
      </w:r>
      <w:r w:rsidR="00A55B63" w:rsidRPr="008B2CC8">
        <w:rPr>
          <w:rFonts w:cs="Arial"/>
          <w:bCs/>
          <w:color w:val="000000" w:themeColor="text1"/>
          <w:sz w:val="22"/>
          <w:szCs w:val="22"/>
          <w:lang w:val="en-US"/>
        </w:rPr>
        <w:t>of eyes</w:t>
      </w:r>
      <w:r w:rsidRPr="008B2CC8">
        <w:rPr>
          <w:rFonts w:cs="Arial"/>
          <w:bCs/>
          <w:color w:val="000000" w:themeColor="text1"/>
          <w:sz w:val="22"/>
          <w:szCs w:val="22"/>
          <w:lang w:val="en-US"/>
        </w:rPr>
        <w:t>),</w:t>
      </w:r>
      <w:r w:rsidR="00A55B63" w:rsidRPr="008B2CC8">
        <w:rPr>
          <w:rFonts w:cs="Arial"/>
          <w:bCs/>
          <w:color w:val="000000" w:themeColor="text1"/>
          <w:sz w:val="22"/>
          <w:szCs w:val="22"/>
          <w:lang w:val="en-US"/>
        </w:rPr>
        <w:t xml:space="preserve"> mild to moderate fundus changes in 89% </w:t>
      </w:r>
      <w:r w:rsidRPr="008B2CC8">
        <w:rPr>
          <w:rFonts w:cs="Arial"/>
          <w:bCs/>
          <w:color w:val="000000" w:themeColor="text1"/>
          <w:sz w:val="22"/>
          <w:szCs w:val="22"/>
          <w:lang w:val="en-US"/>
        </w:rPr>
        <w:t>of eyes</w:t>
      </w:r>
      <w:r w:rsidR="00A55B63" w:rsidRPr="008B2CC8">
        <w:rPr>
          <w:rFonts w:cs="Arial"/>
          <w:bCs/>
          <w:color w:val="000000" w:themeColor="text1"/>
          <w:sz w:val="22"/>
          <w:szCs w:val="22"/>
          <w:lang w:val="en-US"/>
        </w:rPr>
        <w:t xml:space="preserve"> and normal ffERG results in </w:t>
      </w:r>
      <w:r w:rsidR="00355294" w:rsidRPr="008B2CC8">
        <w:rPr>
          <w:rFonts w:cs="Arial"/>
          <w:bCs/>
          <w:color w:val="000000" w:themeColor="text1"/>
          <w:sz w:val="22"/>
          <w:szCs w:val="22"/>
          <w:lang w:val="en-US"/>
        </w:rPr>
        <w:t>67% of the</w:t>
      </w:r>
      <w:r w:rsidRPr="008B2CC8">
        <w:rPr>
          <w:rFonts w:cs="Arial"/>
          <w:bCs/>
          <w:color w:val="000000" w:themeColor="text1"/>
          <w:sz w:val="22"/>
          <w:szCs w:val="22"/>
          <w:lang w:val="en-US"/>
        </w:rPr>
        <w:t xml:space="preserve"> patients</w:t>
      </w:r>
      <w:r w:rsidR="00A55B63" w:rsidRPr="008B2CC8">
        <w:rPr>
          <w:rFonts w:cs="Arial"/>
          <w:bCs/>
          <w:color w:val="000000" w:themeColor="text1"/>
          <w:sz w:val="22"/>
          <w:szCs w:val="22"/>
          <w:lang w:val="en-US"/>
        </w:rPr>
        <w:t xml:space="preserve">. Nevertheless, the retinal function measured by mfERG and SAP were significantly abnormal in patients </w:t>
      </w:r>
      <w:r w:rsidRPr="008B2CC8">
        <w:rPr>
          <w:rFonts w:cs="Arial"/>
          <w:bCs/>
          <w:color w:val="000000" w:themeColor="text1"/>
          <w:sz w:val="22"/>
          <w:szCs w:val="22"/>
          <w:lang w:val="en-US"/>
        </w:rPr>
        <w:t>with VKHD when</w:t>
      </w:r>
      <w:r w:rsidR="00A55B63" w:rsidRPr="008B2CC8">
        <w:rPr>
          <w:rFonts w:cs="Arial"/>
          <w:bCs/>
          <w:color w:val="000000" w:themeColor="text1"/>
          <w:sz w:val="22"/>
          <w:szCs w:val="22"/>
          <w:lang w:val="en-US"/>
        </w:rPr>
        <w:t xml:space="preserve"> compared to </w:t>
      </w:r>
      <w:r w:rsidRPr="008B2CC8">
        <w:rPr>
          <w:rFonts w:cs="Arial"/>
          <w:color w:val="000000" w:themeColor="text1"/>
          <w:sz w:val="22"/>
          <w:szCs w:val="22"/>
          <w:lang w:val="en-US"/>
        </w:rPr>
        <w:t>age and gender matched controls</w:t>
      </w:r>
      <w:r w:rsidRPr="008B2CC8">
        <w:rPr>
          <w:rFonts w:cs="Arial"/>
          <w:bCs/>
          <w:color w:val="000000" w:themeColor="text1"/>
          <w:sz w:val="22"/>
          <w:szCs w:val="22"/>
          <w:lang w:val="en-US"/>
        </w:rPr>
        <w:t xml:space="preserve"> </w:t>
      </w:r>
      <w:r w:rsidR="00A55B63" w:rsidRPr="008B2CC8">
        <w:rPr>
          <w:rFonts w:cs="Arial"/>
          <w:bCs/>
          <w:color w:val="000000" w:themeColor="text1"/>
          <w:sz w:val="22"/>
          <w:szCs w:val="22"/>
          <w:lang w:val="en-US"/>
        </w:rPr>
        <w:t xml:space="preserve">and 44% of eyes had some disruption of </w:t>
      </w:r>
      <w:r w:rsidR="008B2CC8" w:rsidRPr="008B2CC8">
        <w:rPr>
          <w:sz w:val="22"/>
          <w:szCs w:val="22"/>
          <w:lang w:val="en-US"/>
        </w:rPr>
        <w:t>ellipsoid zone</w:t>
      </w:r>
      <w:r w:rsidR="008B2CC8" w:rsidRPr="008B2CC8">
        <w:rPr>
          <w:rFonts w:cs="Arial"/>
          <w:color w:val="000000" w:themeColor="text1"/>
          <w:sz w:val="22"/>
          <w:szCs w:val="22"/>
          <w:lang w:val="en-US"/>
        </w:rPr>
        <w:t xml:space="preserve"> </w:t>
      </w:r>
      <w:r w:rsidR="00A55B63" w:rsidRPr="008B2CC8">
        <w:rPr>
          <w:rFonts w:cs="Arial"/>
          <w:bCs/>
          <w:color w:val="000000" w:themeColor="text1"/>
          <w:sz w:val="22"/>
          <w:szCs w:val="22"/>
          <w:lang w:val="en-US"/>
        </w:rPr>
        <w:t>line</w:t>
      </w:r>
      <w:r w:rsidRPr="008B2CC8">
        <w:rPr>
          <w:rFonts w:cs="Arial"/>
          <w:bCs/>
          <w:color w:val="000000" w:themeColor="text1"/>
          <w:sz w:val="22"/>
          <w:szCs w:val="22"/>
          <w:lang w:val="en-US"/>
        </w:rPr>
        <w:t xml:space="preserve"> on OCT</w:t>
      </w:r>
      <w:r w:rsidR="00A55B63" w:rsidRPr="008B2CC8">
        <w:rPr>
          <w:rFonts w:cs="Arial"/>
          <w:bCs/>
          <w:color w:val="000000" w:themeColor="text1"/>
          <w:sz w:val="22"/>
          <w:szCs w:val="22"/>
          <w:lang w:val="en-US"/>
        </w:rPr>
        <w:t xml:space="preserve">. </w:t>
      </w:r>
    </w:p>
    <w:p w14:paraId="7DE19CA2" w14:textId="1D79E47A" w:rsidR="00A55B63" w:rsidRPr="008B2CC8" w:rsidRDefault="00422A28" w:rsidP="00A55B63">
      <w:pPr>
        <w:spacing w:line="360" w:lineRule="auto"/>
        <w:ind w:firstLine="284"/>
        <w:rPr>
          <w:rFonts w:cs="Arial"/>
          <w:color w:val="000000" w:themeColor="text1"/>
          <w:sz w:val="22"/>
          <w:szCs w:val="22"/>
          <w:lang w:val="en-US"/>
        </w:rPr>
      </w:pPr>
      <w:r w:rsidRPr="008B2CC8">
        <w:rPr>
          <w:color w:val="000000" w:themeColor="text1"/>
          <w:sz w:val="22"/>
          <w:szCs w:val="22"/>
          <w:lang w:val="en-US"/>
        </w:rPr>
        <w:t xml:space="preserve">VKHD is mainly a diffuse granulomatous choroiditis and the photoreceptors </w:t>
      </w:r>
      <w:r w:rsidR="00961BF5" w:rsidRPr="008B2CC8">
        <w:rPr>
          <w:color w:val="000000" w:themeColor="text1"/>
          <w:sz w:val="22"/>
          <w:szCs w:val="22"/>
          <w:lang w:val="en-US"/>
        </w:rPr>
        <w:t>may be</w:t>
      </w:r>
      <w:r w:rsidRPr="008B2CC8">
        <w:rPr>
          <w:color w:val="000000" w:themeColor="text1"/>
          <w:sz w:val="22"/>
          <w:szCs w:val="22"/>
          <w:lang w:val="en-US"/>
        </w:rPr>
        <w:t xml:space="preserve"> affected in a</w:t>
      </w:r>
      <w:r w:rsidR="00B526DC" w:rsidRPr="008B2CC8">
        <w:rPr>
          <w:color w:val="000000" w:themeColor="text1"/>
          <w:sz w:val="22"/>
          <w:szCs w:val="22"/>
          <w:lang w:val="en-US"/>
        </w:rPr>
        <w:t>n</w:t>
      </w:r>
      <w:r w:rsidRPr="008B2CC8">
        <w:rPr>
          <w:color w:val="000000" w:themeColor="text1"/>
          <w:sz w:val="22"/>
          <w:szCs w:val="22"/>
          <w:lang w:val="en-US"/>
        </w:rPr>
        <w:t xml:space="preserve"> upstream phenomenon. </w:t>
      </w:r>
      <w:r w:rsidR="006659E9" w:rsidRPr="008B2CC8">
        <w:rPr>
          <w:color w:val="000000" w:themeColor="text1"/>
          <w:sz w:val="22"/>
          <w:szCs w:val="22"/>
          <w:lang w:val="en-US"/>
        </w:rPr>
        <w:t xml:space="preserve">By reflecting </w:t>
      </w:r>
      <w:r w:rsidR="006659E9" w:rsidRPr="008B2CC8">
        <w:rPr>
          <w:rFonts w:cs="Arial"/>
          <w:bCs/>
          <w:color w:val="000000" w:themeColor="text1"/>
          <w:sz w:val="22"/>
          <w:szCs w:val="22"/>
          <w:lang w:val="en-US"/>
        </w:rPr>
        <w:t xml:space="preserve">the electrophysiological responses from both the photoreceptors and the inner retinal layers, including the bipolar and Müller cells, </w:t>
      </w:r>
      <w:r w:rsidR="00A55B63" w:rsidRPr="008B2CC8">
        <w:rPr>
          <w:rFonts w:cs="Arial"/>
          <w:bCs/>
          <w:color w:val="000000" w:themeColor="text1"/>
          <w:sz w:val="22"/>
          <w:szCs w:val="22"/>
          <w:lang w:val="en-US"/>
        </w:rPr>
        <w:t xml:space="preserve">mfERG </w:t>
      </w:r>
      <w:r w:rsidR="006659E9" w:rsidRPr="008B2CC8">
        <w:rPr>
          <w:rFonts w:cs="Arial"/>
          <w:bCs/>
          <w:color w:val="000000" w:themeColor="text1"/>
          <w:sz w:val="22"/>
          <w:szCs w:val="22"/>
          <w:lang w:val="en-US"/>
        </w:rPr>
        <w:t xml:space="preserve">is applicable in the evaluation of visual function in patients with non-acute </w:t>
      </w:r>
      <w:r w:rsidR="0045405C" w:rsidRPr="008B2CC8">
        <w:rPr>
          <w:rFonts w:cs="Arial"/>
          <w:bCs/>
          <w:color w:val="000000" w:themeColor="text1"/>
          <w:sz w:val="22"/>
          <w:szCs w:val="22"/>
          <w:lang w:val="en-US"/>
        </w:rPr>
        <w:t xml:space="preserve">stage of </w:t>
      </w:r>
      <w:r w:rsidR="006659E9" w:rsidRPr="008B2CC8">
        <w:rPr>
          <w:rFonts w:cs="Arial"/>
          <w:bCs/>
          <w:color w:val="000000" w:themeColor="text1"/>
          <w:sz w:val="22"/>
          <w:szCs w:val="22"/>
          <w:lang w:val="en-US"/>
        </w:rPr>
        <w:t xml:space="preserve">VKHD </w:t>
      </w:r>
      <w:r w:rsidR="006659E9" w:rsidRPr="008B2CC8">
        <w:rPr>
          <w:rFonts w:cs="Arial"/>
          <w:bCs/>
          <w:color w:val="000000" w:themeColor="text1"/>
          <w:sz w:val="22"/>
          <w:szCs w:val="22"/>
          <w:lang w:val="en-US"/>
        </w:rPr>
        <w:fldChar w:fldCharType="begin" w:fldLock="1"/>
      </w:r>
      <w:r w:rsidR="006659E9" w:rsidRPr="008B2CC8">
        <w:rPr>
          <w:rFonts w:cs="Arial"/>
          <w:bCs/>
          <w:color w:val="000000" w:themeColor="text1"/>
          <w:sz w:val="22"/>
          <w:szCs w:val="22"/>
          <w:lang w:val="en-US"/>
        </w:rPr>
        <w:instrText>ADDIN CSL_CITATION {"citationItems":[{"id":"ITEM-1","itemData":{"DOI":"10.1007/s00417-005-1156-3","ISSN":"0721832X","abstract":"Background: Vogt-Koyanagi-Harada (VKH) disease presents with anterior segment inflammation, choroiditis and exudative retinal detachment. Following resolution of the inflammation, VKH patients have been noted to complain of visual disturbances despite good visual acuity. We therefore investigated the visual function deficits of convalescent VKH patients. Methods: A cross-sectional observational nonrandomized controlled study of convalescent VKH patients from the Uveitis Service of the Singapore National Eye Centre, and normal subjects was performed. The best-corrected visual acuities (BCVA) and multifocal electroretinograms (mfERGs) of VKH patients with and without peripapillary atrophy (PPA) were compared with those of the normal eyes. The mfERG results were subdivided into those obtained from the peripapillary area and those from the rest of the macular. Results: Eleven VKH eyes with large PPA to disc ratios (PPA/D ratio &gt;2), 15 VKH eyes with PPA/D ratios &lt; 1 and 6 normal eyes were included in the study. Five eyes (54.5%) of VKH patients with PPA/D&gt;2 had a BCVA of less than 20/40. All the other eyes had 20/20 vision. Nine of the 11 VKH eyes with PPA/D&gt;2 also had large areas of chorioretinal atrophy. The mfERG responses of VKH eyes with PPA/D ratio &gt;2 were markedly reduced in amplitude (p&lt;0.001) and delayed in implicit time (p&lt;0.001) throughout the entire macular area. VKH patients with PPA/D ratio&lt;1 had significantly reduced mfERG amplitudes throughout the entire macular area, as well as delayed implicit times at the peripapillary region (p=0.026). Sub-division of VKH eyes with PPA/D&lt;1 into eyes with no PPA and eyes with a small PPA, showed that both groups had a similar reduction in response amplitude over the entire macular region. However, the implicit time was significantly delayed in eyes with small PPA when compared to those without PPA (p&lt;0.03). Conclusions: VKH patients with large PPA have clinically significant visual dysfunction. VKH patients without PPA also have subclinical retinal dysfunction. The mfERG may be a useful adjunct in the management of VKH by detecting early retinal damage. © Springer-Verlag 2005.","author":[{"dropping-particle":"","family":"Chee","given":"Soon Phaik","non-dropping-particle":"","parse-names":false,"suffix":""},{"dropping-particle":"","family":"Luu","given":"Chi D.","non-dropping-particle":"","parse-names":false,"suffix":""},{"dropping-particle":"","family":"Cheng Ching-Li","given":"C. L.","non-dropping-particle":"","parse-names":false,"suffix":""},{"dropping-particle":"","family":"Lim","given":"Wee Kiak","non-dropping-particle":"","parse-names":false,"suffix":""},{"dropping-particle":"","family":"Jap","given":"Aliza","non-dropping-particle":"","parse-names":false,"suffix":""}],"container-title":"Graefe's Archive for Clinical and Experimental Ophthalmology","id":"ITEM-1","issued":{"date-parts":[["2005"]]},"title":"Visual function in Vogt-Koyanagi-Harada patients","type":"article-journal"},"uris":["http://www.mendeley.com/documents/?uuid=af848156-639a-456c-95ac-b2fdff12c3e1"]},{"id":"ITEM-2","itemData":{"DOI":"10.2147/OPTH.S54838","ISSN":"11775467","abstract":"Purpose: Uveitis is the inflammation of the uveal tract, which usually also affects the retina and vitreous humor. The electrophysiological examination is an objective ocular examination that includes the electroretinogram, visual evoked potentials, the electrooculogram, the multifocal electroretinogram, and multifocal visual evoked potentials. Our aim is to review the literature of the use of the electrophysiological examination in cases of uveitis. Methods: We performed a systematic search of the literature of published papers until October 2012 using the PubMed search engine. The key terms that were used were \"uveitis,\" \"electrophysiological examination\", \"electroretinogram\", \"visual evoked potentials\", \"electro-oculogram\", \"multifocal electroretinogram\", and \"multifocal visual evoked potentials\" in multiple combinations. To the best of our knowledge, this is the first review concerning the assessment of electrophysiology in uveitis. Results: Our search of the literature demonstrated that the electrophysiological examination, mainly by means of electroretinogram, multifocal electroretinogram, and visual evoked potentials, is performed in several cases of uveitis for many purposes, including diagnosis and monitoring of disease progression and treatment efficacy. The electrophysiological examination is more useful in patients with multiple evanescent white dot syndrome, acute posterior multifocal placoid pigment epitheliopathy, birdshot chorioretinopathy, Vogt-Koyanagi-Harada disease, Adamantiades-Behçet disease, ocular syphilis, and Fuchs heterochromic cyclitis. Conclusion: This review summarizes the use of the electrophysiological examination in uveitic patients and underlines its value as a useful tool in the objective assessment and the monitoring of the disease. © 2014 Moschos et al.","author":[{"dropping-particle":"","family":"Moschos","given":"Marilita M.","non-dropping-particle":"","parse-names":false,"suffix":""},{"dropping-particle":"","family":"Gouliopoulos","given":"Nikolaos S.","non-dropping-particle":"","parse-names":false,"suffix":""},{"dropping-particle":"","family":"Kalogeropoulos","given":"Christos","non-dropping-particle":"","parse-names":false,"suffix":""}],"container-title":"Clinical Ophthalmology","id":"ITEM-2","issued":{"date-parts":[["2014"]]},"title":"Electrophysiological examination in uveitis: A review of the literature","type":"article"},"uris":["http://www.mendeley.com/documents/?uuid=6f13d412-901d-4a99-984b-2754288496a4"]}],"mendeley":{"formattedCitation":"[3, 4]","plainTextFormattedCitation":"[3, 4]"},"properties":{"noteIndex":0},"schema":"https://github.com/citation-style-language/schema/raw/master/csl-citation.json"}</w:instrText>
      </w:r>
      <w:r w:rsidR="006659E9" w:rsidRPr="008B2CC8">
        <w:rPr>
          <w:rFonts w:cs="Arial"/>
          <w:bCs/>
          <w:color w:val="000000" w:themeColor="text1"/>
          <w:sz w:val="22"/>
          <w:szCs w:val="22"/>
          <w:lang w:val="en-US"/>
        </w:rPr>
        <w:fldChar w:fldCharType="separate"/>
      </w:r>
      <w:r w:rsidR="006659E9" w:rsidRPr="008B2CC8">
        <w:rPr>
          <w:rFonts w:cs="Arial"/>
          <w:bCs/>
          <w:noProof/>
          <w:color w:val="000000" w:themeColor="text1"/>
          <w:sz w:val="22"/>
          <w:szCs w:val="22"/>
          <w:lang w:val="en-US"/>
        </w:rPr>
        <w:t>[3, 4]</w:t>
      </w:r>
      <w:r w:rsidR="006659E9" w:rsidRPr="008B2CC8">
        <w:rPr>
          <w:rFonts w:cs="Arial"/>
          <w:bCs/>
          <w:color w:val="000000" w:themeColor="text1"/>
          <w:sz w:val="22"/>
          <w:szCs w:val="22"/>
          <w:lang w:val="en-US"/>
        </w:rPr>
        <w:fldChar w:fldCharType="end"/>
      </w:r>
      <w:r w:rsidR="00A55B63" w:rsidRPr="008B2CC8">
        <w:rPr>
          <w:rFonts w:cs="Arial"/>
          <w:bCs/>
          <w:color w:val="000000" w:themeColor="text1"/>
          <w:sz w:val="22"/>
          <w:szCs w:val="22"/>
          <w:lang w:val="en-US"/>
        </w:rPr>
        <w:t xml:space="preserve">. Chee et al. showed that, in patients with non-acute VKHD, </w:t>
      </w:r>
      <w:r w:rsidR="00A55B63" w:rsidRPr="008B2CC8">
        <w:rPr>
          <w:rFonts w:cs="Arial"/>
          <w:color w:val="000000" w:themeColor="text1"/>
          <w:sz w:val="22"/>
          <w:szCs w:val="22"/>
          <w:lang w:val="en-US"/>
        </w:rPr>
        <w:t xml:space="preserve">mfERG response was reduced, despite the absence of clinical apparent retinal atrophy and normal VA </w:t>
      </w:r>
      <w:r w:rsidR="00A55B63" w:rsidRPr="008B2CC8">
        <w:rPr>
          <w:rFonts w:cs="Arial"/>
          <w:color w:val="000000" w:themeColor="text1"/>
          <w:sz w:val="22"/>
          <w:szCs w:val="22"/>
          <w:lang w:val="en-US"/>
        </w:rPr>
        <w:fldChar w:fldCharType="begin" w:fldLock="1"/>
      </w:r>
      <w:r w:rsidR="00A55B63" w:rsidRPr="008B2CC8">
        <w:rPr>
          <w:rFonts w:cs="Arial"/>
          <w:color w:val="000000" w:themeColor="text1"/>
          <w:sz w:val="22"/>
          <w:szCs w:val="22"/>
          <w:lang w:val="en-US"/>
        </w:rPr>
        <w:instrText>ADDIN CSL_CITATION {"citationItems":[{"id":"ITEM-1","itemData":{"DOI":"10.1007/s00417-005-1156-3","ISSN":"0721832X","abstract":"Background: Vogt-Koyanagi-Harada (VKH) disease presents with anterior segment inflammation, choroiditis and exudative retinal detachment. Following resolution of the inflammation, VKH patients have been noted to complain of visual disturbances despite good visual acuity. We therefore investigated the visual function deficits of convalescent VKH patients. Methods: A cross-sectional observational nonrandomized controlled study of convalescent VKH patients from the Uveitis Service of the Singapore National Eye Centre, and normal subjects was performed. The best-corrected visual acuities (BCVA) and multifocal electroretinograms (mfERGs) of VKH patients with and without peripapillary atrophy (PPA) were compared with those of the normal eyes. The mfERG results were subdivided into those obtained from the peripapillary area and those from the rest of the macular. Results: Eleven VKH eyes with large PPA to disc ratios (PPA/D ratio &gt;2), 15 VKH eyes with PPA/D ratios &lt; 1 and 6 normal eyes were included in the study. Five eyes (54.5%) of VKH patients with PPA/D&gt;2 had a BCVA of less than 20/40. All the other eyes had 20/20 vision. Nine of the 11 VKH eyes with PPA/D&gt;2 also had large areas of chorioretinal atrophy. The mfERG responses of VKH eyes with PPA/D ratio &gt;2 were markedly reduced in amplitude (p&lt;0.001) and delayed in implicit time (p&lt;0.001) throughout the entire macular area. VKH patients with PPA/D ratio&lt;1 had significantly reduced mfERG amplitudes throughout the entire macular area, as well as delayed implicit times at the peripapillary region (p=0.026). Sub-division of VKH eyes with PPA/D&lt;1 into eyes with no PPA and eyes with a small PPA, showed that both groups had a similar reduction in response amplitude over the entire macular region. However, the implicit time was significantly delayed in eyes with small PPA when compared to those without PPA (p&lt;0.03). Conclusions: VKH patients with large PPA have clinically significant visual dysfunction. VKH patients without PPA also have subclinical retinal dysfunction. The mfERG may be a useful adjunct in the management of VKH by detecting early retinal damage. © Springer-Verlag 2005.","author":[{"dropping-particle":"","family":"Chee","given":"Soon Phaik","non-dropping-particle":"","parse-names":false,"suffix":""},{"dropping-particle":"","family":"Luu","given":"Chi D.","non-dropping-particle":"","parse-names":false,"suffix":""},{"dropping-particle":"","family":"Cheng Ching-Li","given":"C. L.","non-dropping-particle":"","parse-names":false,"suffix":""},{"dropping-particle":"","family":"Lim","given":"Wee Kiak","non-dropping-particle":"","parse-names":false,"suffix":""},{"dropping-particle":"","family":"Jap","given":"Aliza","non-dropping-particle":"","parse-names":false,"suffix":""}],"container-title":"Graefe's Archive for Clinical and Experimental Ophthalmology","id":"ITEM-1","issued":{"date-parts":[["2005"]]},"title":"Visual function in Vogt-Koyanagi-Harada patients","type":"article-journal"},"uris":["http://www.mendeley.com/documents/?uuid=af848156-639a-456c-95ac-b2fdff12c3e1"]}],"mendeley":{"formattedCitation":"[4]","plainTextFormattedCitation":"[4]","previouslyFormattedCitation":"[4]"},"properties":{"noteIndex":0},"schema":"https://github.com/citation-style-language/schema/raw/master/csl-citation.json"}</w:instrText>
      </w:r>
      <w:r w:rsidR="00A55B63" w:rsidRPr="008B2CC8">
        <w:rPr>
          <w:rFonts w:cs="Arial"/>
          <w:color w:val="000000" w:themeColor="text1"/>
          <w:sz w:val="22"/>
          <w:szCs w:val="22"/>
          <w:lang w:val="en-US"/>
        </w:rPr>
        <w:fldChar w:fldCharType="separate"/>
      </w:r>
      <w:r w:rsidR="00A55B63" w:rsidRPr="008B2CC8">
        <w:rPr>
          <w:rFonts w:cs="Arial"/>
          <w:noProof/>
          <w:color w:val="000000" w:themeColor="text1"/>
          <w:sz w:val="22"/>
          <w:szCs w:val="22"/>
          <w:lang w:val="en-US"/>
        </w:rPr>
        <w:t>[4]</w:t>
      </w:r>
      <w:r w:rsidR="00A55B63" w:rsidRPr="008B2CC8">
        <w:rPr>
          <w:rFonts w:cs="Arial"/>
          <w:color w:val="000000" w:themeColor="text1"/>
          <w:sz w:val="22"/>
          <w:szCs w:val="22"/>
          <w:lang w:val="en-US"/>
        </w:rPr>
        <w:fldChar w:fldCharType="end"/>
      </w:r>
      <w:r w:rsidR="00A55B63" w:rsidRPr="008B2CC8">
        <w:rPr>
          <w:rFonts w:cs="Arial"/>
          <w:color w:val="000000" w:themeColor="text1"/>
          <w:sz w:val="22"/>
          <w:szCs w:val="22"/>
          <w:lang w:val="en-US"/>
        </w:rPr>
        <w:t xml:space="preserve">. Similarly, we demonstrated that, in patients with good VA and mild/moderate fundus classification, there was a visual dysfunction noticed on mfERG results. These findings reinforce the previous hypothesis raised by those authors that these patients do in fact have some retinal damage, which may not be clinically detectable, and that conventional measures, such as VA, are not sensitive enough in the assessment of visual function in non-acute VKHD patients </w:t>
      </w:r>
      <w:r w:rsidR="00A55B63" w:rsidRPr="008B2CC8">
        <w:rPr>
          <w:rFonts w:cs="Arial"/>
          <w:color w:val="000000" w:themeColor="text1"/>
          <w:sz w:val="22"/>
          <w:szCs w:val="22"/>
          <w:lang w:val="en-US"/>
        </w:rPr>
        <w:fldChar w:fldCharType="begin" w:fldLock="1"/>
      </w:r>
      <w:r w:rsidR="00A55B63" w:rsidRPr="008B2CC8">
        <w:rPr>
          <w:rFonts w:cs="Arial"/>
          <w:color w:val="000000" w:themeColor="text1"/>
          <w:sz w:val="22"/>
          <w:szCs w:val="22"/>
          <w:lang w:val="en-US"/>
        </w:rPr>
        <w:instrText>ADDIN CSL_CITATION {"citationItems":[{"id":"ITEM-1","itemData":{"DOI":"10.1007/s00417-005-1156-3","ISSN":"0721832X","abstract":"Background: Vogt-Koyanagi-Harada (VKH) disease presents with anterior segment inflammation, choroiditis and exudative retinal detachment. Following resolution of the inflammation, VKH patients have been noted to complain of visual disturbances despite good visual acuity. We therefore investigated the visual function deficits of convalescent VKH patients. Methods: A cross-sectional observational nonrandomized controlled study of convalescent VKH patients from the Uveitis Service of the Singapore National Eye Centre, and normal subjects was performed. The best-corrected visual acuities (BCVA) and multifocal electroretinograms (mfERGs) of VKH patients with and without peripapillary atrophy (PPA) were compared with those of the normal eyes. The mfERG results were subdivided into those obtained from the peripapillary area and those from the rest of the macular. Results: Eleven VKH eyes with large PPA to disc ratios (PPA/D ratio &gt;2), 15 VKH eyes with PPA/D ratios &lt; 1 and 6 normal eyes were included in the study. Five eyes (54.5%) of VKH patients with PPA/D&gt;2 had a BCVA of less than 20/40. All the other eyes had 20/20 vision. Nine of the 11 VKH eyes with PPA/D&gt;2 also had large areas of chorioretinal atrophy. The mfERG responses of VKH eyes with PPA/D ratio &gt;2 were markedly reduced in amplitude (p&lt;0.001) and delayed in implicit time (p&lt;0.001) throughout the entire macular area. VKH patients with PPA/D ratio&lt;1 had significantly reduced mfERG amplitudes throughout the entire macular area, as well as delayed implicit times at the peripapillary region (p=0.026). Sub-division of VKH eyes with PPA/D&lt;1 into eyes with no PPA and eyes with a small PPA, showed that both groups had a similar reduction in response amplitude over the entire macular region. However, the implicit time was significantly delayed in eyes with small PPA when compared to those without PPA (p&lt;0.03). Conclusions: VKH patients with large PPA have clinically significant visual dysfunction. VKH patients without PPA also have subclinical retinal dysfunction. The mfERG may be a useful adjunct in the management of VKH by detecting early retinal damage. © Springer-Verlag 2005.","author":[{"dropping-particle":"","family":"Chee","given":"Soon Phaik","non-dropping-particle":"","parse-names":false,"suffix":""},{"dropping-particle":"","family":"Luu","given":"Chi D.","non-dropping-particle":"","parse-names":false,"suffix":""},{"dropping-particle":"","family":"Cheng Ching-Li","given":"C. L.","non-dropping-particle":"","parse-names":false,"suffix":""},{"dropping-particle":"","family":"Lim","given":"Wee Kiak","non-dropping-particle":"","parse-names":false,"suffix":""},{"dropping-particle":"","family":"Jap","given":"Aliza","non-dropping-particle":"","parse-names":false,"suffix":""}],"container-title":"Graefe's Archive for Clinical and Experimental Ophthalmology","id":"ITEM-1","issued":{"date-parts":[["2005"]]},"title":"Visual function in Vogt-Koyanagi-Harada patients","type":"article-journal"},"uris":["http://www.mendeley.com/documents/?uuid=af848156-639a-456c-95ac-b2fdff12c3e1"]}],"mendeley":{"formattedCitation":"[4]","plainTextFormattedCitation":"[4]","previouslyFormattedCitation":"[4]"},"properties":{"noteIndex":0},"schema":"https://github.com/citation-style-language/schema/raw/master/csl-citation.json"}</w:instrText>
      </w:r>
      <w:r w:rsidR="00A55B63" w:rsidRPr="008B2CC8">
        <w:rPr>
          <w:rFonts w:cs="Arial"/>
          <w:color w:val="000000" w:themeColor="text1"/>
          <w:sz w:val="22"/>
          <w:szCs w:val="22"/>
          <w:lang w:val="en-US"/>
        </w:rPr>
        <w:fldChar w:fldCharType="separate"/>
      </w:r>
      <w:r w:rsidR="00A55B63" w:rsidRPr="008B2CC8">
        <w:rPr>
          <w:rFonts w:cs="Arial"/>
          <w:noProof/>
          <w:color w:val="000000" w:themeColor="text1"/>
          <w:sz w:val="22"/>
          <w:szCs w:val="22"/>
          <w:lang w:val="en-US"/>
        </w:rPr>
        <w:t>[4]</w:t>
      </w:r>
      <w:r w:rsidR="00A55B63" w:rsidRPr="008B2CC8">
        <w:rPr>
          <w:rFonts w:cs="Arial"/>
          <w:color w:val="000000" w:themeColor="text1"/>
          <w:sz w:val="22"/>
          <w:szCs w:val="22"/>
          <w:lang w:val="en-US"/>
        </w:rPr>
        <w:fldChar w:fldCharType="end"/>
      </w:r>
      <w:r w:rsidR="00A55B63" w:rsidRPr="008B2CC8">
        <w:rPr>
          <w:rFonts w:cs="Arial"/>
          <w:color w:val="000000" w:themeColor="text1"/>
          <w:sz w:val="22"/>
          <w:szCs w:val="22"/>
          <w:lang w:val="en-US"/>
        </w:rPr>
        <w:t xml:space="preserve">. We also </w:t>
      </w:r>
      <w:r w:rsidR="00A55B63" w:rsidRPr="008B2CC8">
        <w:rPr>
          <w:rFonts w:cs="Arial"/>
          <w:color w:val="000000" w:themeColor="text1"/>
          <w:sz w:val="22"/>
          <w:szCs w:val="22"/>
          <w:lang w:val="en-US"/>
        </w:rPr>
        <w:lastRenderedPageBreak/>
        <w:t>support the idea that mfERG seems to be a sensitive non-invasive tool and may be a useful adjunct in the management of patients with non-acute VKHD by detecting early retinal damage.</w:t>
      </w:r>
    </w:p>
    <w:p w14:paraId="5342F41A" w14:textId="46DB7E92" w:rsidR="00A55B63" w:rsidRPr="008B2CC8" w:rsidRDefault="0080582A" w:rsidP="00A55B63">
      <w:pPr>
        <w:spacing w:line="360" w:lineRule="auto"/>
        <w:ind w:firstLine="284"/>
        <w:rPr>
          <w:rFonts w:cs="Arial"/>
          <w:color w:val="000000" w:themeColor="text1"/>
          <w:sz w:val="22"/>
          <w:szCs w:val="22"/>
          <w:lang w:val="en-US"/>
        </w:rPr>
      </w:pPr>
      <w:r w:rsidRPr="008B2CC8">
        <w:rPr>
          <w:color w:val="000000" w:themeColor="text1"/>
          <w:sz w:val="22"/>
          <w:szCs w:val="22"/>
          <w:lang w:val="en-US"/>
        </w:rPr>
        <w:t xml:space="preserve">Furthermore, </w:t>
      </w:r>
      <w:r w:rsidR="00A55B63" w:rsidRPr="008B2CC8">
        <w:rPr>
          <w:color w:val="000000" w:themeColor="text1"/>
          <w:sz w:val="22"/>
          <w:szCs w:val="22"/>
          <w:lang w:val="en-US"/>
        </w:rPr>
        <w:t>SAP</w:t>
      </w:r>
      <w:r w:rsidRPr="008B2CC8">
        <w:rPr>
          <w:color w:val="000000" w:themeColor="text1"/>
          <w:sz w:val="22"/>
          <w:szCs w:val="22"/>
          <w:lang w:val="en-US"/>
        </w:rPr>
        <w:t xml:space="preserve"> is another functional exam that</w:t>
      </w:r>
      <w:r w:rsidR="00A55B63" w:rsidRPr="008B2CC8">
        <w:rPr>
          <w:color w:val="000000" w:themeColor="text1"/>
          <w:sz w:val="22"/>
          <w:szCs w:val="22"/>
          <w:lang w:val="en-US"/>
        </w:rPr>
        <w:t xml:space="preserve"> has shown to reflect the function of the retina, choroid and optic nerve. </w:t>
      </w:r>
      <w:r w:rsidR="00A55B63" w:rsidRPr="008B2CC8">
        <w:rPr>
          <w:rFonts w:cs="Arial"/>
          <w:color w:val="000000" w:themeColor="text1"/>
          <w:sz w:val="22"/>
          <w:szCs w:val="22"/>
          <w:lang w:val="en-US"/>
        </w:rPr>
        <w:t xml:space="preserve">Yang et al. demonstrated that SAP is an independent test to measure visual function in patients with VKHD and that </w:t>
      </w:r>
      <w:r w:rsidR="00A55B63" w:rsidRPr="008B2CC8">
        <w:rPr>
          <w:color w:val="000000" w:themeColor="text1"/>
          <w:sz w:val="22"/>
          <w:szCs w:val="22"/>
          <w:lang w:val="en-US"/>
        </w:rPr>
        <w:t>the impaired VF is generally in accordance with the inflammatory damage to the choroid and its adjacent tissues observed in this syndrome</w:t>
      </w:r>
      <w:r w:rsidR="00A55B63" w:rsidRPr="008B2CC8">
        <w:rPr>
          <w:rFonts w:cs="Arial"/>
          <w:color w:val="000000" w:themeColor="text1"/>
          <w:sz w:val="22"/>
          <w:szCs w:val="22"/>
          <w:lang w:val="en-US"/>
        </w:rPr>
        <w:t xml:space="preserve"> </w:t>
      </w:r>
      <w:r w:rsidR="00A55B63" w:rsidRPr="008B2CC8">
        <w:rPr>
          <w:rFonts w:cs="Arial"/>
          <w:color w:val="000000" w:themeColor="text1"/>
          <w:sz w:val="22"/>
          <w:szCs w:val="22"/>
          <w:lang w:val="en-US"/>
        </w:rPr>
        <w:fldChar w:fldCharType="begin" w:fldLock="1"/>
      </w:r>
      <w:r w:rsidR="00A55B63" w:rsidRPr="008B2CC8">
        <w:rPr>
          <w:rFonts w:cs="Arial"/>
          <w:color w:val="000000" w:themeColor="text1"/>
          <w:sz w:val="22"/>
          <w:szCs w:val="22"/>
          <w:lang w:val="en-US"/>
        </w:rPr>
        <w:instrText>ADDIN CSL_CITATION {"citationItems":[{"id":"ITEM-1","itemData":{"DOI":"10.1007/s12348-011-0055-5","ISSN":"18695760","abstract":"Purpose: To investigate the changes of color vision and central visual field in a cohort of patients with Vogt-Koyanagi-Harada (VKH) syndrome. Methods: Sixteen VKH patients (32 eyes) were enrolled in this study. All the patients were treated with immunosuppressive agents. The best visual acuity, visual field testing and color vision testing were available from the records in all these patients at different time points, i.e. before treatment and 1 month (±7 days), 3 months (±15 days), 6 months (±20 days) and 12 months (±30 days) after treatment. Results: All patients showed active intraocular inflammation at their first visit. A decreased visual acuity, abnormality of color vision and abnormal visual field were observed at presentation. Visual acuity and color vision rapidly improved at 1 and 3 months and gradually improved thereafter. Visual field defects significantly improved at 6 months and gradually improved thereafter. However, visual field defects were still observed in 27.5% of the tested patients following a 12-month treatment. Color vision returned to the normal level only in about one-third of these patients at this time point. Conclusions: Visual function was severely impaired in VKH patients with active uveitis but rapidly improved following immunosuppressive therapy. Visual fields are much more severely affected by the disease than visual acuity and its improvement lagged behind that of visual acuity and color vision. © 2012 Springer-Verlag.","author":[{"dropping-particle":"","family":"Yang","given":"Peizeng","non-dropping-particle":"","parse-names":false,"suffix":""},{"dropping-particle":"","family":"Sun","given":"Min","non-dropping-particle":"","parse-names":false,"suffix":""},{"dropping-particle":"","family":"Liu","given":"Xiaoli","non-dropping-particle":"","parse-names":false,"suffix":""},{"dropping-particle":"","family":"Zhou","given":"Hongyan","non-dropping-particle":"","parse-names":false,"suffix":""},{"dropping-particle":"","family":"Fang","given":"Wang","non-dropping-particle":"","parse-names":false,"suffix":""},{"dropping-particle":"","family":"Wang","given":"Li","non-dropping-particle":"","parse-names":false,"suffix":""},{"dropping-particle":"","family":"Kijlstra","given":"Aize","non-dropping-particle":"","parse-names":false,"suffix":""}],"container-title":"Journal of Ophthalmic Inflammation and Infection","id":"ITEM-1","issued":{"date-parts":[["2012"]]},"title":"Alterations of color vision and central visual field in patients with Vogt-Koyanagi-Harada syndrome","type":"article-journal"},"uris":["http://www.mendeley.com/documents/?uuid=ef442d5e-520b-4541-811b-f74627b48862"]}],"mendeley":{"formattedCitation":"[7]","plainTextFormattedCitation":"[7]","previouslyFormattedCitation":"[7]"},"properties":{"noteIndex":0},"schema":"https://github.com/citation-style-language/schema/raw/master/csl-citation.json"}</w:instrText>
      </w:r>
      <w:r w:rsidR="00A55B63" w:rsidRPr="008B2CC8">
        <w:rPr>
          <w:rFonts w:cs="Arial"/>
          <w:color w:val="000000" w:themeColor="text1"/>
          <w:sz w:val="22"/>
          <w:szCs w:val="22"/>
          <w:lang w:val="en-US"/>
        </w:rPr>
        <w:fldChar w:fldCharType="separate"/>
      </w:r>
      <w:r w:rsidR="00A55B63" w:rsidRPr="008B2CC8">
        <w:rPr>
          <w:rFonts w:cs="Arial"/>
          <w:noProof/>
          <w:color w:val="000000" w:themeColor="text1"/>
          <w:sz w:val="22"/>
          <w:szCs w:val="22"/>
          <w:lang w:val="en-US"/>
        </w:rPr>
        <w:t>[7]</w:t>
      </w:r>
      <w:r w:rsidR="00A55B63" w:rsidRPr="008B2CC8">
        <w:rPr>
          <w:rFonts w:cs="Arial"/>
          <w:color w:val="000000" w:themeColor="text1"/>
          <w:sz w:val="22"/>
          <w:szCs w:val="22"/>
          <w:lang w:val="en-US"/>
        </w:rPr>
        <w:fldChar w:fldCharType="end"/>
      </w:r>
      <w:r w:rsidR="00A55B63" w:rsidRPr="008B2CC8">
        <w:rPr>
          <w:rFonts w:cs="Arial"/>
          <w:color w:val="000000" w:themeColor="text1"/>
          <w:sz w:val="22"/>
          <w:szCs w:val="22"/>
          <w:lang w:val="en-US"/>
        </w:rPr>
        <w:t>. Our results of impaired VF results despite good VA reinforce that sub-clinical abnormal macular function is still present in certain patients although the intraocular inflammation is clinically controlled</w:t>
      </w:r>
      <w:r w:rsidRPr="008B2CC8">
        <w:rPr>
          <w:rFonts w:cs="Arial"/>
          <w:color w:val="000000" w:themeColor="text1"/>
          <w:sz w:val="22"/>
          <w:szCs w:val="22"/>
          <w:lang w:val="en-US"/>
        </w:rPr>
        <w:t>. In our sample, despite scarce clinical signs of activity, SAP values were</w:t>
      </w:r>
      <w:r w:rsidRPr="008B2CC8">
        <w:rPr>
          <w:rFonts w:cs="Arial"/>
          <w:bCs/>
          <w:sz w:val="22"/>
          <w:szCs w:val="22"/>
          <w:lang w:val="en-US"/>
        </w:rPr>
        <w:t xml:space="preserve"> significantly worse than in normal age-matched controls</w:t>
      </w:r>
      <w:r w:rsidRPr="008B2CC8">
        <w:rPr>
          <w:rFonts w:cs="Arial"/>
          <w:color w:val="000000" w:themeColor="text1"/>
          <w:sz w:val="22"/>
          <w:szCs w:val="22"/>
          <w:lang w:val="en-US"/>
        </w:rPr>
        <w:t xml:space="preserve"> </w:t>
      </w:r>
      <w:r w:rsidR="00A55B63" w:rsidRPr="008B2CC8">
        <w:rPr>
          <w:rFonts w:cs="Arial"/>
          <w:color w:val="000000" w:themeColor="text1"/>
          <w:sz w:val="22"/>
          <w:szCs w:val="22"/>
          <w:lang w:val="en-US"/>
        </w:rPr>
        <w:t xml:space="preserve">and </w:t>
      </w:r>
      <w:r w:rsidRPr="008B2CC8">
        <w:rPr>
          <w:rFonts w:cs="Arial"/>
          <w:color w:val="000000" w:themeColor="text1"/>
          <w:sz w:val="22"/>
          <w:szCs w:val="22"/>
          <w:lang w:val="en-US"/>
        </w:rPr>
        <w:t xml:space="preserve">this can explain, at least partially, </w:t>
      </w:r>
      <w:r w:rsidR="00A55B63" w:rsidRPr="008B2CC8">
        <w:rPr>
          <w:rFonts w:cs="Arial"/>
          <w:color w:val="000000" w:themeColor="text1"/>
          <w:sz w:val="22"/>
          <w:szCs w:val="22"/>
          <w:lang w:val="en-US"/>
        </w:rPr>
        <w:t xml:space="preserve">the complain of unspecific visual disturbances. </w:t>
      </w:r>
    </w:p>
    <w:p w14:paraId="4A9B7006" w14:textId="5FB5400A" w:rsidR="00A55B63" w:rsidRPr="008B2CC8" w:rsidRDefault="00A55B63" w:rsidP="00A55B63">
      <w:pPr>
        <w:spacing w:line="360" w:lineRule="auto"/>
        <w:ind w:firstLine="284"/>
        <w:rPr>
          <w:rFonts w:cs="Arial"/>
          <w:sz w:val="22"/>
          <w:szCs w:val="22"/>
          <w:lang w:val="en-US"/>
        </w:rPr>
      </w:pPr>
      <w:r w:rsidRPr="008B2CC8">
        <w:rPr>
          <w:rFonts w:cs="Arial"/>
          <w:color w:val="000000" w:themeColor="text1"/>
          <w:sz w:val="22"/>
          <w:szCs w:val="22"/>
          <w:lang w:val="en-US"/>
        </w:rPr>
        <w:t xml:space="preserve">Correlation of between these functional tests, i.e. mfERG and SAP, had been evaluated in non-inflammatory ocular diseases. Evaluating retinal toxicity with hydroxychloroquine, Lai et al. found that mfERG response amplitude correlated with 10:2 VF MD values and with the cumulative dose of hydroxychloroquine, providing supplementary quantitative information to VF findings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{"citationItems":[{"id":"ITEM-1","itemData":{"DOI":"10.1007/s10633-006-9006-0","ISSN":"00124486","abstract":"Purpose: To evaluate the effects of hydroxychloroquine on visual field and multifocal electroretinography (mfERG) and their correlations in patients taking hydroxychloroquine. Methods: This was a cross-sectional study in which patients on hydroxychloroquine therapy underwent automated 10-2 threshold static visual field examination and mfERG recordings. Non-parametric unadjusted and age-adjusted Spearman correlation coefficients were calculated between the cumulative dose of hydroxychloroquine and the visual field mean deviation (MD) and pattern standard deviation (PSD) values; and the mfERG response amplitudes and peak latencies. Correlation analysis was also performed between the visual field MD and PSD values and the mfERG response amplitudes and peak latencies. Results: A total of 26 eyes in 13 patients were analyzed. The mean duration of hydroxychloroquine therapy was 4.9 years and the mean cumulative dose was 574 g. No significant correlation was found between the cumulative dose of hydroxychloroquine and the visual field MD and PSD values. There were significant correlations between the cumulative dose of hydroxychloroquine and mfERG N1 and P1 response amplitudes for the central rings (ring 1-3). The correlations between the dose of hydroxychloroquine and mfERG N1 and P1 response amplitudes were strongest for the paracentral ring 2 (p =0.63 and p =0.62, respectively, P = 0.001). Significant correlations were also found between the visual field MD values and mfERG response amplitudes of various ring eccentricities. Conclusions: In patients on hydroxychloroquine, mfERG response amplitude correlated with both the 10-2 visual field MD values and with the cumulative dose of hydroxychloroquine used. The use of mfERG can provide objective measurement of retinal function in patients on hydroxychloroquine and may provide supplementary quantitative information to visual field findings. © Springer Science+Business Media B.V. 2006.","author":[{"dropping-particle":"","family":"Lai","given":"Timothy Y.Y.","non-dropping-particle":"","parse-names":false,"suffix":""},{"dropping-particle":"","family":"Ngai","given":"Jasmine W.S.","non-dropping-particle":"","parse-names":false,"suffix":""},{"dropping-particle":"","family":"Chan","given":"Wai Man","non-dropping-particle":"","parse-names":false,"suffix":""},{"dropping-particle":"","family":"Lam","given":"Dennis S.C.","non-dropping-particle":"","parse-names":false,"suffix":""}],"container-title":"Documenta Ophthalmologica","id":"ITEM-1","issued":{"date-parts":[["2006"]]},"title":"Visual field and multifocal electroretinography and their correlations in patients on hydroxychloroquine therapy","type":"article-journal"},"uris":["http://www.mendeley.com/documents/?uuid=3f560225-1131-4e37-9bfd-56fec1ecb3d4"]}],"mendeley":{"formattedCitation":"[21]","plainTextFormattedCitation":"[21]","previouslyFormattedCitation":"[21]"},"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[21]</w:t>
      </w:r>
      <w:r w:rsidRPr="008B2CC8">
        <w:rPr>
          <w:rFonts w:cs="Arial"/>
          <w:color w:val="000000" w:themeColor="text1"/>
          <w:sz w:val="22"/>
          <w:szCs w:val="22"/>
          <w:lang w:val="en-US"/>
        </w:rPr>
        <w:fldChar w:fldCharType="end"/>
      </w:r>
      <w:r w:rsidRPr="008B2CC8">
        <w:rPr>
          <w:rFonts w:cs="Arial"/>
          <w:color w:val="000000" w:themeColor="text1"/>
          <w:sz w:val="22"/>
          <w:szCs w:val="22"/>
          <w:lang w:val="en-US"/>
        </w:rPr>
        <w:t>. In patients with open angle glaucoma, despite the small changes observed in mfERG and</w:t>
      </w:r>
      <w:r w:rsidR="0080582A" w:rsidRPr="008B2CC8">
        <w:rPr>
          <w:rFonts w:cs="Arial"/>
          <w:color w:val="000000" w:themeColor="text1"/>
          <w:sz w:val="22"/>
          <w:szCs w:val="22"/>
          <w:lang w:val="en-US"/>
        </w:rPr>
        <w:t xml:space="preserve"> SAP</w:t>
      </w:r>
      <w:r w:rsidRPr="008B2CC8">
        <w:rPr>
          <w:rFonts w:cs="Arial"/>
          <w:color w:val="000000" w:themeColor="text1"/>
          <w:sz w:val="22"/>
          <w:szCs w:val="22"/>
          <w:lang w:val="en-US"/>
        </w:rPr>
        <w:t xml:space="preserve">, these two functional tests showed a reasonable correlation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{"citationItems":[{"id":"ITEM-1","itemData":{"DOI":"10.1023/B:DOOP.0000018430.81735.55","ISSN":"00124486","abstract":"Purpose: To compare changes in the mfERG to visual field changes observed in OAG. Methods: Twenty-nine eyes with OAG were included. Visual fields (Octopus d32) and mfERGs (VERIS™) were obtained at a mean interval of 9 months (SD 6 months). MfERG recording parameters were as follows: 103 hexagons stimulated the central 50 degrees. M-sequence 2 5, stimulus base interval 13.33 ms, Lmax 200 cd/m 2, contrast 99%. First (KI) and second (KII) order response components were analyzed for the individual quadrants of the visual field and compared to the corresponding mean deviation (MD) of the static perimetry. Results: Changes in visual field parameters and changes in the mfERG did not differ significantly. Overall, as mean deviation increased there was a tendency for implicit times to increase and for amplitudes to decrease. However, over the follow up interval of 9 months only minor changes were observed. The second order response component correlated best with changes in MD (p &lt; 0.05). These were the correlation between MD and KII N1 (r:0.36) in the upper temporal field, between MD and KII N2 (r:0.40) in the upper nasal field and between MD and KII P1 (r:0.38) in the lower temporal field. When a subgroup of 10 eyes that had been tested at least 3 times over 16.8 months (SD 5.5) was examined there were still only minor changes observed in either parameter. Conclusion: While the changes over time in the mfERG and the visual field showed a reasonable correlation, changes observed in either parameter were extremely small over the time period observed, thus requiring a longer follow up and/or a more sensitive stimulation technique. © 2004 Kluwer Academic Publishers.","author":[{"dropping-particle":"","family":"Palmowski","given":"Anja M.","non-dropping-particle":"","parse-names":false,"suffix":""},{"dropping-particle":"","family":"Ruprecht","given":"Klaus W.","non-dropping-particle":"","parse-names":false,"suffix":""}],"container-title":"Documenta Ophthalmologica","id":"ITEM-1","issued":{"date-parts":[["2004"]]},"title":"Follow up in open angle glaucoma. A comparison of static perimetry and the fast stimulation mfERG","type":"article-journal"},"uris":["http://www.mendeley.com/documents/?uuid=ac2bdf57-b4f8-46d5-a8e3-ce4e311cf52f","http://www.mendeley.com/documents/?uuid=3bef3782-2a86-4f5b-9539-1383930278de"]}],"mendeley":{"formattedCitation":"[22]","plainTextFormattedCitation":"[22]","previouslyFormattedCitation":"[22]"},"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[22]</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In diabetic patients, most responses of mfERG and short-wavelength automated perimetry (SWAP) were subnormal and showed a similar number of significant abnormalities regardless the presence of diabetic retinopathy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{"citationItems":[{"id":"ITEM-1","itemData":{"DOI":"10.1001/archopht.122.12.1809","ISSN":"00039950","abstract":"Objective: To compare severity and locations of abnormalities detected by the multifocal electroretinogram (mfERG) and short-wavelength automated perimetry (SWAP) in diabetic eyes with early or no retinopathy. Methods: One eye from each of 22 patients with diabetes mellitus who had early retinopathy and 18 patients with diabetes mellitus who had no retinopathy were tested on mfERG and SWAP. The mfERG implicit times were interpolated based on SWAP stimulus locations and compared with normative values obtained from 30 age-similar control subjects. The SWAP total threshold deviations were analyzed using an age-based control data set from 255 healthy subjects. The z scores of both measures were derived to allow measurement comparisons. Results: Most responses for the 2 measurements were subnormal in both groups with diabetes mellitus. The 2 measurements showed a similar number of significant abnormalities (z score ≥2), about 40% and 20% of responses for diabetic patients with retinopathy and diabetic patients with no retinopathy, respectively. Local mfERG and SWAP results showed some spatial agreement for subjects with retinopathy (r=-0.38, P&lt;.001) but not for those with no retinopathy. Conclusions: Both mfERG and SWAP are sensitive measurements of diabetic dysfunction, even prior to retinopathy. The lack of spatial correspondence between mfERG and SWAP abnormalities in diabetic patients with no retinopathy reflects overlapping, but different, retinal anomalies in early diabetic eye disease.","author":[{"dropping-particle":"","family":"Han","given":"Ying","non-dropping-particle":"","parse-names":false,"suffix":""},{"dropping-particle":"","family":"Adams","given":"Anthony J.","non-dropping-particle":"","parse-names":false,"suffix":""},{"dropping-particle":"","family":"Bearse","given":"Marcus A.","non-dropping-particle":"","parse-names":false,"suffix":""},{"dropping-particle":"","family":"Schneck","given":"Marilyn E.","non-dropping-particle":"","parse-names":false,"suffix":""}],"container-title":"Archives of Ophthalmology","id":"ITEM-1","issued":{"date-parts":[["2004"]]},"title":"Multifocal electroretinogram and short-wavelength automated perimetry measures in diabetic eyes with little or no retinopathy","type":"article-journal"},"uris":["http://www.mendeley.com/documents/?uuid=2c20cdf4-f423-4f6f-8e32-519c399ddf3f"]}],"mendeley":{"formattedCitation":"[23]","plainTextFormattedCitation":"[23]","previouslyFormattedCitation":"[23]"},"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[23]</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Recently, functional tests were evaluated in patients with birdshot chorioretinopathy by Maihac et al.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{"citationItems":[{"id":"ITEM-1","itemData":{"DOI":"10.1016/j.ajo.2018.11.022","ISSN":"18791891","abstract":"Purpose: The aim of this study is to investigate temporal trends in multifocal ERG (mfERG) parameters and analyze their relationships with anatomic and functional markers in patients with birdshot chorioretinopathy (BSCR). Design: Prospective observational case series. Methods: Sixteen BSCR patients were include and underwent 2 standardized follow-up (FU) visits within 5 years following a baseline examination, including mfERG, visual acuity (VA), visual field (VF), Lanthony desaturated panel D-15 test for color vision, quality of life (QoL), fluorescein and indocyanine green angiography, and optical coherence tomography (OCT). Results: A significant trend toward a decrease in absolute N1 amplitude values was observed over the follow-up period (P &lt;.001) while N1 implicit time remained unchanged. In contrast, P1 amplitude decreased (P &lt;.001) and P1 implicit time increased (P &lt;.001) over the same period. No significant temporal change was found for VA, color vision score, foveal threshold, mean deviation of VF, and QoL. After adjusting for time to FU, increasing N1 and P1 IT were both associated with decreasing values of logMAR, foveal threshold, and QoL and with increasing color vision score and mean deviation of VF. A significant relationship was observed between decreasing P1 amplitude values and increasing mean deviation of VF. Lower absolute values of N1 amplitude were associated with venous vasculitis, whereas lower P1 amplitude values correlated with alteration of the outer retina in OCT. Conclusions: Progressive deterioration in mfERG during a 5-year period is detected in BSCR, whereas classical functional test results were unchanged. This study suggests a better sensitivity of mfERG in monitoring the retinal function of BSCR patients.","author":[{"dropping-particle":"","family":"Mailhac","given":"Adriane","non-dropping-particle":"","parse-names":false,"suffix":""},{"dropping-particle":"","family":"Labarere","given":"José","non-dropping-particle":"","parse-names":false,"suffix":""},{"dropping-particle":"","family":"Aptel","given":"Florent","non-dropping-particle":"","parse-names":false,"suffix":""},{"dropping-particle":"","family":"Berthemy","given":"Sylvie","non-dropping-particle":"","parse-names":false,"suffix":""},{"dropping-particle":"","family":"Bouillet","given":"Laurence","non-dropping-particle":"","parse-names":false,"suffix":""},{"dropping-particle":"","family":"Chiquet","given":"Christophe","non-dropping-particle":"","parse-names":false,"suffix":""}],"container-title":"American Journal of Ophthalmology","id":"ITEM-1","issued":{"date-parts":[["2019"]]},"title":"Five-Year Trends in Multifocal Electroretinogram for Patients With Birdshot Chorioretinopathy","type":"article-journal"},"uris":["http://www.mendeley.com/documents/?uuid=e3b8e7b2-086e-40bc-885e-288945b4ebf1"]}],"mendeley":{"formattedCitation":"[16]","plainTextFormattedCitation":"[16]","previouslyFormattedCitation":"[16]"},"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[16]</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They showed that a decreased P1 amplitude on mfERG were correlated to a worse MD on SAP. In our</w:t>
      </w:r>
      <w:r w:rsidRPr="008B2CC8">
        <w:rPr>
          <w:rFonts w:cs="Arial"/>
          <w:sz w:val="22"/>
          <w:szCs w:val="22"/>
          <w:lang w:val="en-US"/>
        </w:rPr>
        <w:t xml:space="preserve"> study, </w:t>
      </w:r>
      <w:r w:rsidRPr="008B2CC8">
        <w:rPr>
          <w:rFonts w:cs="Arial"/>
          <w:color w:val="000000" w:themeColor="text1"/>
          <w:sz w:val="22"/>
          <w:szCs w:val="22"/>
          <w:lang w:val="en-US"/>
        </w:rPr>
        <w:t xml:space="preserve">there </w:t>
      </w:r>
      <w:r w:rsidRPr="008B2CC8">
        <w:rPr>
          <w:rFonts w:cs="Arial"/>
          <w:sz w:val="22"/>
          <w:szCs w:val="22"/>
          <w:lang w:val="en-US"/>
        </w:rPr>
        <w:t xml:space="preserve">were significant associations between </w:t>
      </w:r>
      <w:r w:rsidR="00C77F1D" w:rsidRPr="008B2CC8">
        <w:rPr>
          <w:rFonts w:cs="Arial"/>
          <w:sz w:val="22"/>
          <w:szCs w:val="22"/>
          <w:lang w:val="en-US"/>
        </w:rPr>
        <w:t xml:space="preserve">SAP and </w:t>
      </w:r>
      <w:r w:rsidRPr="008B2CC8">
        <w:rPr>
          <w:rFonts w:cs="Arial"/>
          <w:sz w:val="22"/>
          <w:szCs w:val="22"/>
          <w:lang w:val="en-US"/>
        </w:rPr>
        <w:t xml:space="preserve">mfERG </w:t>
      </w:r>
      <w:r w:rsidR="00C77F1D" w:rsidRPr="008B2CC8">
        <w:rPr>
          <w:rFonts w:cs="Arial"/>
          <w:sz w:val="22"/>
          <w:szCs w:val="22"/>
          <w:lang w:val="en-US"/>
        </w:rPr>
        <w:t>results</w:t>
      </w:r>
      <w:r w:rsidRPr="008B2CC8">
        <w:rPr>
          <w:rFonts w:cs="Arial"/>
          <w:sz w:val="22"/>
          <w:szCs w:val="22"/>
          <w:lang w:val="en-US"/>
        </w:rPr>
        <w:t>: MS on SAP correlated with P1 and N1 amplitudes and with P1 and N1 peak times</w:t>
      </w:r>
      <w:r w:rsidR="00C77F1D" w:rsidRPr="008B2CC8">
        <w:rPr>
          <w:rFonts w:cs="Arial"/>
          <w:sz w:val="22"/>
          <w:szCs w:val="22"/>
          <w:lang w:val="en-US"/>
        </w:rPr>
        <w:t xml:space="preserve"> on mfERG</w:t>
      </w:r>
      <w:r w:rsidRPr="008B2CC8">
        <w:rPr>
          <w:rFonts w:cs="Arial"/>
          <w:sz w:val="22"/>
          <w:szCs w:val="22"/>
          <w:lang w:val="en-US"/>
        </w:rPr>
        <w:t xml:space="preserve">. It demonstrates that both mfERG and SAP are sensitive measurements of functional dysfunction in patients with non-acute VKHD. </w:t>
      </w:r>
    </w:p>
    <w:p w14:paraId="48256335" w14:textId="2673CDCC" w:rsidR="00A55B63" w:rsidRPr="008B2CC8" w:rsidRDefault="00A55B63" w:rsidP="00A55B63">
      <w:pPr>
        <w:spacing w:line="360" w:lineRule="auto"/>
        <w:ind w:firstLine="284"/>
        <w:rPr>
          <w:rFonts w:cs="Arial"/>
          <w:color w:val="000000" w:themeColor="text1"/>
          <w:sz w:val="22"/>
          <w:szCs w:val="22"/>
          <w:lang w:val="en-US"/>
        </w:rPr>
      </w:pPr>
      <w:r w:rsidRPr="008B2CC8">
        <w:rPr>
          <w:rFonts w:cs="Arial"/>
          <w:color w:val="000000" w:themeColor="text1"/>
          <w:sz w:val="22"/>
          <w:szCs w:val="22"/>
          <w:lang w:val="en-US"/>
        </w:rPr>
        <w:t xml:space="preserve">Concerning structural changes observed in patients with non-acute VKHD, Zhou et al showed that OCT findings were localized in the outer retina and included  thinning of the outer nuclear layer, thickening of the RPE, breakage or disappearance of the COST and/or </w:t>
      </w:r>
      <w:r w:rsidR="008B2CC8" w:rsidRPr="008B2CC8">
        <w:rPr>
          <w:sz w:val="22"/>
          <w:szCs w:val="22"/>
          <w:lang w:val="en-US"/>
        </w:rPr>
        <w:t>ellipsoid zone</w:t>
      </w:r>
      <w:r w:rsidR="008B2CC8" w:rsidRPr="008B2CC8">
        <w:rPr>
          <w:rFonts w:cs="Arial"/>
          <w:color w:val="000000" w:themeColor="text1"/>
          <w:sz w:val="22"/>
          <w:szCs w:val="22"/>
          <w:lang w:val="en-US"/>
        </w:rPr>
        <w:t xml:space="preserve"> line</w:t>
      </w:r>
      <w:r w:rsidR="008B2CC8" w:rsidRPr="008B2CC8">
        <w:rPr>
          <w:rFonts w:cs="Arial"/>
          <w:color w:val="000000" w:themeColor="text1"/>
          <w:sz w:val="22"/>
          <w:szCs w:val="22"/>
          <w:lang w:val="en-US"/>
        </w:rPr>
        <w:t>s</w:t>
      </w:r>
      <w:r w:rsidRPr="008B2CC8">
        <w:rPr>
          <w:rFonts w:cs="Arial"/>
          <w:color w:val="000000" w:themeColor="text1"/>
          <w:sz w:val="22"/>
          <w:szCs w:val="22"/>
          <w:lang w:val="en-US"/>
        </w:rPr>
        <w:t>.</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{"citationItems":[{"id":"ITEM-1","itemData":{"DOI":"10.1155/2015/916485","ISSN":"20900058","abstract":"Purpose. To characterize the optical coherence tomography (OCT) findings in late-stage Vogt-Koyanagi-Harada (VKH) disease and its correlation with visual function. Methods. The records of patients with late-stage VKH disease (defined as ≥12 months from disease onset) were retrospectively reviewed. The analysis focused on the OCT findings and microperimetry, in addition to the possible correlation between morphology and functional findings. Results. Twenty-nine patients (58 eyes) were included. Mean age at onset was 34.24 ± 10.67 years. The OCT revealed that the outer retina and retinal pigment epithelium (RPE) were mainly affected. These effects included RPE thickening and breakage or disappearance of the cone outer segment tip (COST) line and/or inner segment/outer segment (IS/OS) junction. The COST line and IS/OS results were related to macular function and the interval between symptom onset and initiation of high-dose corticosteroid treatment (all P&lt;0.01). Eyes with intact COST lines demonstrated intact IS/OS and normal RPE layers as well as better visual function and normal retinal sensitivity. Conclusions. The OCT findings are strongly correlated with macular function, as well as other clinical findings in late-stage VKH. With respect to the COST line and retinal sensitivity especially, the OCT and microperimetry findings may be useful for evaluating later-stage VKH.","author":[{"dropping-particle":"","family":"Zhou","given":"Min","non-dropping-particle":"","parse-names":false,"suffix":""},{"dropping-particle":"","family":"Jiang","given":"Chunhui","non-dropping-particle":"","parse-names":false,"suffix":""},{"dropping-particle":"","family":"Gu","given":"Ruiping","non-dropping-particle":"","parse-names":false,"suffix":""},{"dropping-particle":"","family":"Sun","given":"Zhongcui","non-dropping-particle":"","parse-names":false,"suffix":""},{"dropping-particle":"","family":"Huynh","given":"Nancy","non-dropping-particle":"","parse-names":false,"suffix":""},{"dropping-particle":"","family":"Chang","given":"Qing","non-dropping-particle":"","parse-names":false,"suffix":""}],"container-title":"Journal of Ophthalmology","id":"ITEM-1","issued":{"date-parts":[["2015"]]},"title":"Correlation between Retinal Changes and Visual Function in Late-Stage Vogt-Koyanagi-Harada Disease: An Optical Coherence Tomography Study","type":"article-journal"},"uris":["http://www.mendeley.com/documents/?uuid=885ee229-844f-4ade-abd4-1d8264a70988"]}],"mendeley":{"formattedCitation":"[11]","plainTextFormattedCitation":"[11]","previouslyFormattedCitation":"[11]"},"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[11]</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Their results revealed a correlation between these findings and VA, since the group with intact COST and </w:t>
      </w:r>
      <w:r w:rsidR="008B2CC8" w:rsidRPr="008B2CC8">
        <w:rPr>
          <w:sz w:val="22"/>
          <w:szCs w:val="22"/>
          <w:lang w:val="en-US"/>
        </w:rPr>
        <w:t>ellipsoid zone</w:t>
      </w:r>
      <w:r w:rsidR="008B2CC8" w:rsidRPr="008B2CC8">
        <w:rPr>
          <w:rFonts w:cs="Arial"/>
          <w:color w:val="000000" w:themeColor="text1"/>
          <w:sz w:val="22"/>
          <w:szCs w:val="22"/>
          <w:lang w:val="en-US"/>
        </w:rPr>
        <w:t xml:space="preserve"> line</w:t>
      </w:r>
      <w:r w:rsidR="008B2CC8" w:rsidRPr="008B2CC8">
        <w:rPr>
          <w:rFonts w:cs="Arial"/>
          <w:color w:val="000000" w:themeColor="text1"/>
          <w:sz w:val="22"/>
          <w:szCs w:val="22"/>
          <w:lang w:val="en-US"/>
        </w:rPr>
        <w:t>s</w:t>
      </w:r>
      <w:r w:rsidRPr="008B2CC8">
        <w:rPr>
          <w:rFonts w:cs="Arial"/>
          <w:color w:val="000000" w:themeColor="text1"/>
          <w:sz w:val="22"/>
          <w:szCs w:val="22"/>
          <w:lang w:val="en-US"/>
        </w:rPr>
        <w:t xml:space="preserve"> displayed the best VA.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{"citationItems":[{"id":"ITEM-1","itemData":{"DOI":"10.1155/2015/916485","ISSN":"20900058","abstract":"Purpose. To characterize the optical coherence tomography (OCT) findings in late-stage Vogt-Koyanagi-Harada (VKH) disease and its correlation with visual function. Methods. The records of patients with late-stage VKH disease (defined as ≥12 months from disease onset) were retrospectively reviewed. The analysis focused on the OCT findings and microperimetry, in addition to the possible correlation between morphology and functional findings. Results. Twenty-nine patients (58 eyes) were included. Mean age at onset was 34.24 ± 10.67 years. The OCT revealed that the outer retina and retinal pigment epithelium (RPE) were mainly affected. These effects included RPE thickening and breakage or disappearance of the cone outer segment tip (COST) line and/or inner segment/outer segment (IS/OS) junction. The COST line and IS/OS results were related to macular function and the interval between symptom onset and initiation of high-dose corticosteroid treatment (all P&lt;0.01). Eyes with intact COST lines demonstrated intact IS/OS and normal RPE layers as well as better visual function and normal retinal sensitivity. Conclusions. The OCT findings are strongly correlated with macular function, as well as other clinical findings in late-stage VKH. With respect to the COST line and retinal sensitivity especially, the OCT and microperimetry findings may be useful for evaluating later-stage VKH.","author":[{"dropping-particle":"","family":"Zhou","given":"Min","non-dropping-particle":"","parse-names":false,"suffix":""},{"dropping-particle":"","family":"Jiang","given":"Chunhui","non-dropping-particle":"","parse-names":false,"suffix":""},{"dropping-particle":"","family":"Gu","given":"Ruiping","non-dropping-particle":"","parse-names":false,"suffix":""},{"dropping-particle":"","family":"Sun","given":"Zhongcui","non-dropping-particle":"","parse-names":false,"suffix":""},{"dropping-particle":"","family":"Huynh","given":"Nancy","non-dropping-particle":"","parse-names":false,"suffix":""},{"dropping-particle":"","family":"Chang","given":"Qing","non-dropping-particle":"","parse-names":false,"suffix":""}],"container-title":"Journal of Ophthalmology","id":"ITEM-1","issued":{"date-parts":[["2015"]]},"title":"Correlation between Retinal Changes and Visual Function in Late-Stage Vogt-Koyanagi-Harada Disease: An Optical Coherence Tomography Study","type":"article-journal"},"uris":["http://www.mendeley.com/documents/?uuid=885ee229-844f-4ade-abd4-1d8264a70988"]}],"mendeley":{"formattedCitation":"[11]","plainTextFormattedCitation":"[11]","previouslyFormattedCitation":"[11]"},"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[11]</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In our study, we could not find a significant association between VA and patient’s subgroup based on </w:t>
      </w:r>
      <w:r w:rsidR="008B2CC8" w:rsidRPr="008B2CC8">
        <w:rPr>
          <w:sz w:val="22"/>
          <w:szCs w:val="22"/>
          <w:lang w:val="en-US"/>
        </w:rPr>
        <w:t>ellipsoid zone</w:t>
      </w:r>
      <w:r w:rsidR="008B2CC8"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line integrity. This discrepant result may be due to the very good VA of most of our patients. Nevertheless, patients in group 1 with an intact </w:t>
      </w:r>
      <w:r w:rsidR="008B2CC8" w:rsidRPr="008B2CC8">
        <w:rPr>
          <w:sz w:val="22"/>
          <w:szCs w:val="22"/>
          <w:lang w:val="en-US"/>
        </w:rPr>
        <w:t>ellipsoid zone</w:t>
      </w:r>
      <w:r w:rsidR="008B2CC8"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line showed better amplitude responses on mfERG and better CS, fovea, MD and PSD values on SAP than patients in groups 2 and 3, with disruption of </w:t>
      </w:r>
      <w:r w:rsidR="008B2CC8" w:rsidRPr="008B2CC8">
        <w:rPr>
          <w:sz w:val="22"/>
          <w:szCs w:val="22"/>
          <w:lang w:val="en-US"/>
        </w:rPr>
        <w:t>ellipsoid zone</w:t>
      </w:r>
      <w:r w:rsidR="008B2CC8"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line </w:t>
      </w:r>
      <w:r w:rsidRPr="008B2CC8">
        <w:rPr>
          <w:rFonts w:cs="Arial"/>
          <w:color w:val="000000" w:themeColor="text1"/>
          <w:sz w:val="22"/>
          <w:szCs w:val="22"/>
          <w:shd w:val="clear" w:color="auto" w:fill="FFFFFF"/>
          <w:lang w:val="en-US"/>
        </w:rPr>
        <w:t>≤ 500</w:t>
      </w:r>
      <w:r w:rsidRPr="008B2CC8">
        <w:rPr>
          <w:rFonts w:cs="Arial"/>
          <w:bCs/>
          <w:color w:val="000000"/>
          <w:sz w:val="22"/>
          <w:szCs w:val="22"/>
          <w:lang w:val="en-US"/>
        </w:rPr>
        <w:t>µm</w:t>
      </w:r>
      <w:r w:rsidRPr="008B2CC8">
        <w:rPr>
          <w:rFonts w:cs="Arial"/>
          <w:color w:val="000000" w:themeColor="text1"/>
          <w:sz w:val="22"/>
          <w:szCs w:val="22"/>
          <w:shd w:val="clear" w:color="auto" w:fill="FFFFFF"/>
          <w:lang w:val="en-US"/>
        </w:rPr>
        <w:t xml:space="preserve"> or &gt;500</w:t>
      </w:r>
      <w:r w:rsidRPr="008B2CC8">
        <w:rPr>
          <w:rFonts w:cs="Arial"/>
          <w:bCs/>
          <w:color w:val="000000"/>
          <w:sz w:val="22"/>
          <w:szCs w:val="22"/>
          <w:lang w:val="en-US"/>
        </w:rPr>
        <w:t>µm</w:t>
      </w:r>
      <w:r w:rsidRPr="008B2CC8">
        <w:rPr>
          <w:rFonts w:cs="Arial"/>
          <w:color w:val="000000" w:themeColor="text1"/>
          <w:sz w:val="22"/>
          <w:szCs w:val="22"/>
          <w:shd w:val="clear" w:color="auto" w:fill="FFFFFF"/>
          <w:lang w:val="en-US"/>
        </w:rPr>
        <w:t xml:space="preserve">, respectively. </w:t>
      </w:r>
      <w:r w:rsidRPr="008B2CC8">
        <w:rPr>
          <w:rFonts w:cs="Arial"/>
          <w:color w:val="000000" w:themeColor="text1"/>
          <w:sz w:val="22"/>
          <w:szCs w:val="22"/>
          <w:lang w:val="en-US"/>
        </w:rPr>
        <w:t xml:space="preserve">It is possible to infer that mfERG and SAP are useful and important tools to </w:t>
      </w:r>
      <w:r w:rsidR="00D22DFE" w:rsidRPr="008B2CC8">
        <w:rPr>
          <w:rFonts w:cs="Arial"/>
          <w:color w:val="000000" w:themeColor="text1"/>
          <w:sz w:val="22"/>
          <w:szCs w:val="22"/>
          <w:lang w:val="en-US"/>
        </w:rPr>
        <w:t xml:space="preserve">detect early retinal </w:t>
      </w:r>
      <w:r w:rsidR="00D22DFE" w:rsidRPr="008B2CC8">
        <w:rPr>
          <w:rFonts w:cs="Arial"/>
          <w:color w:val="000000" w:themeColor="text1"/>
          <w:sz w:val="22"/>
          <w:szCs w:val="22"/>
          <w:lang w:val="en-US"/>
        </w:rPr>
        <w:lastRenderedPageBreak/>
        <w:t xml:space="preserve">damage and </w:t>
      </w:r>
      <w:r w:rsidRPr="008B2CC8">
        <w:rPr>
          <w:rFonts w:cs="Arial"/>
          <w:color w:val="000000" w:themeColor="text1"/>
          <w:sz w:val="22"/>
          <w:szCs w:val="22"/>
          <w:lang w:val="en-US"/>
        </w:rPr>
        <w:t xml:space="preserve">evaluate visual disturbances presented by some patients with non-acute VKHD, despite good VA and mild anatomic alterations. </w:t>
      </w:r>
    </w:p>
    <w:p w14:paraId="5D5BB79A" w14:textId="19C53B70" w:rsidR="00A55B63" w:rsidRPr="008B2CC8" w:rsidRDefault="00A55B63" w:rsidP="00A55B63">
      <w:pPr>
        <w:spacing w:line="360" w:lineRule="auto"/>
        <w:ind w:firstLine="284"/>
        <w:rPr>
          <w:rFonts w:cs="Arial"/>
          <w:color w:val="538135" w:themeColor="accent6" w:themeShade="BF"/>
          <w:sz w:val="22"/>
          <w:szCs w:val="22"/>
          <w:lang w:val="en-US"/>
        </w:rPr>
      </w:pPr>
      <w:r w:rsidRPr="008B2CC8">
        <w:rPr>
          <w:rFonts w:cs="Arial"/>
          <w:color w:val="000000" w:themeColor="text1"/>
          <w:sz w:val="22"/>
          <w:szCs w:val="22"/>
          <w:lang w:val="en-US"/>
        </w:rPr>
        <w:t xml:space="preserve">In our study we did find a correlation between foveal retinal thickness measured with OCT with functional parameters of mfERG and SAP. A reduced N1 amplitude and an increased P1 peak time were significantly associated with an increased foveal thickness. A study with cystoid macular edema in patients with recurrent uveitis of various etiologies showed a negative correlation between foveal thickness and mfERG values in area 1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{"citationItems":[{"id":"ITEM-1","itemData":{"DOI":"10.1111/j.1444-0938.2011.00679.x","ISSN":"08164622","abstract":"Background: The aim was to evaluate the correlation between the anatomical and functional outcomes before and after treatment of uveitic macular oedema. Methods: Thirty-three eyes of 33 patients with uveitic macular oedema were included in the present study. Visual acuity (VA), optical coherence tomography (OCT) and multifocal electroretinogram (mfERG) were measured before and after treatment of the macular oedema. Correlation analyses between VA, OCT and mfERG parameters were performed. Results: The VA and mfERG measurements showed statistically significant improvement after treatment of the macular oedema (p &lt; 0.01) and OCT-measured central foveal thickness decreased significantly from 434 ± 135μm before treatment to 267 ± 92μm after treatment (p &lt; 0.001). Correlation analyses showed that uveitic central foveal thickness before treatment was correlated with mfERG N1 response amplitude of area 1 (Spearman's r = -0.62, p &lt; 0.001). VA (logMAR) after treatment had a negative correlation with the mfERG N1 response amplitude of area 1 (Spearman's r = -0.56, p = 0.001). Also, there was no correlation between the final VA and pre-treatment OCT and mfERG measurements. Conclusion: This study deals with cystoid macular oedema associated with recurrent uveitis. In cystoid macular oedema, the value of mfERG before treatment is related to the central foveal thickness and VA. In contrast, after treatment the decrease of macular thickness is not always followed by an improvement of mfERG and VA. This supports the view that in uveitic macular oedema, the decrease in macular thickness after treatment may not be used as a predictor of improvement of macular function. © 2011 The Authors. Clinical and Experimental Optometry © 2011 Optometrists Association Australia.","author":[{"dropping-particle":"","family":"Georgiadou","given":"Evi","non-dropping-particle":"","parse-names":false,"suffix":""},{"dropping-particle":"","family":"Moschos","given":"Marilita M.","non-dropping-particle":"","parse-names":false,"suffix":""},{"dropping-particle":"","family":"Margetis","given":"Ioannis","non-dropping-particle":"","parse-names":false,"suffix":""},{"dropping-particle":"","family":"Chalkiadakis","given":"John","non-dropping-particle":"","parse-names":false,"suffix":""},{"dropping-particle":"","family":"Markomichelakis","given":"Nikos N.","non-dropping-particle":"","parse-names":false,"suffix":""}],"container-title":"Clinical and Experimental Optometry","id":"ITEM-1","issued":{"date-parts":[["2012"]]},"title":"Structural and functional outcomes after treatment of uveitic macular oedema: An optical coherence tomography and multifocal electroretinogram study","type":"article-journal"},"uris":["http://www.mendeley.com/documents/?uuid=e3a0eb04-2066-4d45-a0ef-40d53ae82aa0"]}],"mendeley":{"formattedCitation":"[17]","plainTextFormattedCitation":"[17]","previouslyFormattedCitation":"[17]"},"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[17]</w:t>
      </w:r>
      <w:r w:rsidRPr="008B2CC8">
        <w:rPr>
          <w:rFonts w:cs="Arial"/>
          <w:color w:val="000000" w:themeColor="text1"/>
          <w:sz w:val="22"/>
          <w:szCs w:val="22"/>
          <w:lang w:val="en-US"/>
        </w:rPr>
        <w:fldChar w:fldCharType="end"/>
      </w:r>
      <w:r w:rsidRPr="008B2CC8">
        <w:rPr>
          <w:rFonts w:cs="Arial"/>
          <w:color w:val="000000" w:themeColor="text1"/>
          <w:sz w:val="22"/>
          <w:szCs w:val="22"/>
          <w:lang w:val="en-US"/>
        </w:rPr>
        <w:t xml:space="preserve">. </w:t>
      </w:r>
      <w:r w:rsidR="0071431F" w:rsidRPr="008B2CC8">
        <w:rPr>
          <w:rFonts w:cs="Arial"/>
          <w:color w:val="000000" w:themeColor="text1"/>
          <w:sz w:val="22"/>
          <w:szCs w:val="22"/>
          <w:lang w:val="en-US"/>
        </w:rPr>
        <w:t>Also, i</w:t>
      </w:r>
      <w:r w:rsidRPr="008B2CC8">
        <w:rPr>
          <w:rFonts w:cs="Arial"/>
          <w:color w:val="000000" w:themeColor="text1"/>
          <w:sz w:val="22"/>
          <w:szCs w:val="22"/>
          <w:lang w:val="en-US"/>
        </w:rPr>
        <w:t xml:space="preserve">n patients with birdshot chorioretinopathy the longer implicit times of the N1 and P1 response were correlated with the presence of macular edema </w:t>
      </w:r>
      <w:r w:rsidRPr="008B2CC8">
        <w:rPr>
          <w:rFonts w:cs="Arial"/>
          <w:color w:val="000000" w:themeColor="text1"/>
          <w:sz w:val="22"/>
          <w:szCs w:val="22"/>
          <w:lang w:val="en-US"/>
        </w:rPr>
        <w:fldChar w:fldCharType="begin" w:fldLock="1"/>
      </w:r>
      <w:r w:rsidR="006659E9" w:rsidRPr="008B2CC8">
        <w:rPr>
          <w:rFonts w:cs="Arial"/>
          <w:color w:val="000000" w:themeColor="text1"/>
          <w:sz w:val="22"/>
          <w:szCs w:val="22"/>
          <w:lang w:val="en-US"/>
        </w:rPr>
        <w:instrText>ADDIN CSL_CITATION {"citationItems":[{"id":"ITEM-1","itemData":{"DOI":"10.1016/j.ajo.2018.11.022","ISSN":"18791891","abstract":"Purpose: The aim of this study is to investigate temporal trends in multifocal ERG (mfERG) parameters and analyze their relationships with anatomic and functional markers in patients with birdshot chorioretinopathy (BSCR). Design: Prospective observational case series. Methods: Sixteen BSCR patients were include and underwent 2 standardized follow-up (FU) visits within 5 years following a baseline examination, including mfERG, visual acuity (VA), visual field (VF), Lanthony desaturated panel D-15 test for color vision, quality of life (QoL), fluorescein and indocyanine green angiography, and optical coherence tomography (OCT). Results: A significant trend toward a decrease in absolute N1 amplitude values was observed over the follow-up period (P &lt;.001) while N1 implicit time remained unchanged. In contrast, P1 amplitude decreased (P &lt;.001) and P1 implicit time increased (P &lt;.001) over the same period. No significant temporal change was found for VA, color vision score, foveal threshold, mean deviation of VF, and QoL. After adjusting for time to FU, increasing N1 and P1 IT were both associated with decreasing values of logMAR, foveal threshold, and QoL and with increasing color vision score and mean deviation of VF. A significant relationship was observed between decreasing P1 amplitude values and increasing mean deviation of VF. Lower absolute values of N1 amplitude were associated with venous vasculitis, whereas lower P1 amplitude values correlated with alteration of the outer retina in OCT. Conclusions: Progressive deterioration in mfERG during a 5-year period is detected in BSCR, whereas classical functional test results were unchanged. This study suggests a better sensitivity of mfERG in monitoring the retinal function of BSCR patients.","author":[{"dropping-particle":"","family":"Mailhac","given":"Adriane","non-dropping-particle":"","parse-names":false,"suffix":""},{"dropping-particle":"","family":"Labarere","given":"José","non-dropping-particle":"","parse-names":false,"suffix":""},{"dropping-particle":"","family":"Aptel","given":"Florent","non-dropping-particle":"","parse-names":false,"suffix":""},{"dropping-particle":"","family":"Berthemy","given":"Sylvie","non-dropping-particle":"","parse-names":false,"suffix":""},{"dropping-particle":"","family":"Bouillet","given":"Laurence","non-dropping-particle":"","parse-names":false,"suffix":""},{"dropping-particle":"","family":"Chiquet","given":"Christophe","non-dropping-particle":"","parse-names":false,"suffix":""}],"container-title":"American Journal of Ophthalmology","id":"ITEM-1","issued":{"date-parts":[["2019"]]},"title":"Five-Year Trends in Multifocal Electroretinogram for Patients With Birdshot Chorioretinopathy","type":"article-journal"},"uris":["http://www.mendeley.com/documents/?uuid=e3b8e7b2-086e-40bc-885e-288945b4ebf1"]}],"mendeley":{"formattedCitation":"[16]","plainTextFormattedCitation":"[16]","previouslyFormattedCitation":"[16]"},"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[16]</w:t>
      </w:r>
      <w:r w:rsidRPr="008B2CC8">
        <w:rPr>
          <w:rFonts w:cs="Arial"/>
          <w:color w:val="000000" w:themeColor="text1"/>
          <w:sz w:val="22"/>
          <w:szCs w:val="22"/>
          <w:lang w:val="en-US"/>
        </w:rPr>
        <w:fldChar w:fldCharType="end"/>
      </w:r>
      <w:r w:rsidRPr="008B2CC8">
        <w:rPr>
          <w:rFonts w:cs="Arial"/>
          <w:color w:val="000000" w:themeColor="text1"/>
          <w:sz w:val="22"/>
          <w:szCs w:val="22"/>
          <w:lang w:val="en-US"/>
        </w:rPr>
        <w:t>.</w:t>
      </w:r>
      <w:r w:rsidRPr="008B2CC8">
        <w:rPr>
          <w:rFonts w:cs="Arial"/>
          <w:color w:val="538135" w:themeColor="accent6" w:themeShade="BF"/>
          <w:sz w:val="22"/>
          <w:szCs w:val="22"/>
          <w:lang w:val="en-US"/>
        </w:rPr>
        <w:t xml:space="preserve">  </w:t>
      </w:r>
    </w:p>
    <w:p w14:paraId="229F7680" w14:textId="67CC8620" w:rsidR="00A55B63" w:rsidRPr="008B2CC8" w:rsidRDefault="00A55B63" w:rsidP="00A55B63">
      <w:pPr>
        <w:spacing w:line="360" w:lineRule="auto"/>
        <w:ind w:firstLine="284"/>
        <w:rPr>
          <w:rFonts w:cs="Arial"/>
          <w:color w:val="000000" w:themeColor="text1"/>
          <w:sz w:val="22"/>
          <w:szCs w:val="22"/>
          <w:lang w:val="en-US"/>
        </w:rPr>
      </w:pPr>
      <w:r w:rsidRPr="008B2CC8">
        <w:rPr>
          <w:rFonts w:cs="Arial"/>
          <w:color w:val="000000" w:themeColor="text1"/>
          <w:sz w:val="22"/>
          <w:szCs w:val="22"/>
          <w:lang w:val="en-US"/>
        </w:rPr>
        <w:t xml:space="preserve">Our data highlighted that mfERG amplitudes and SAP parameters are reliable complementary tests to evaluate retinal function and they may be associated with disruption of </w:t>
      </w:r>
      <w:r w:rsidR="008B2CC8" w:rsidRPr="008B2CC8">
        <w:rPr>
          <w:sz w:val="22"/>
          <w:szCs w:val="22"/>
          <w:lang w:val="en-US"/>
        </w:rPr>
        <w:t>ellipsoid zone</w:t>
      </w:r>
      <w:r w:rsidR="008B2CC8" w:rsidRPr="008B2CC8">
        <w:rPr>
          <w:rFonts w:cs="Arial"/>
          <w:color w:val="000000" w:themeColor="text1"/>
          <w:sz w:val="22"/>
          <w:szCs w:val="22"/>
          <w:lang w:val="en-US"/>
        </w:rPr>
        <w:t xml:space="preserve"> </w:t>
      </w:r>
      <w:r w:rsidRPr="008B2CC8">
        <w:rPr>
          <w:rFonts w:cs="Arial"/>
          <w:color w:val="000000" w:themeColor="text1"/>
          <w:sz w:val="22"/>
          <w:szCs w:val="22"/>
          <w:lang w:val="en-US"/>
        </w:rPr>
        <w:t>line on OCT. Then, a possible question to be arise is whether functional test to choose. The clinical relevance of the mfERG is the possibility of an objective measure of retinal function</w:t>
      </w:r>
      <w:r w:rsidR="0071431F" w:rsidRPr="008B2CC8">
        <w:rPr>
          <w:rFonts w:cs="Arial"/>
          <w:color w:val="000000" w:themeColor="text1"/>
          <w:sz w:val="22"/>
          <w:szCs w:val="22"/>
          <w:lang w:val="en-US"/>
        </w:rPr>
        <w:t xml:space="preserve"> </w:t>
      </w:r>
      <w:r w:rsidRPr="008B2CC8">
        <w:rPr>
          <w:rFonts w:cs="Arial"/>
          <w:color w:val="000000" w:themeColor="text1"/>
          <w:sz w:val="22"/>
          <w:szCs w:val="22"/>
          <w:lang w:val="en-US"/>
        </w:rPr>
        <w:t xml:space="preserve">that needs less effort and compliance of the patient in comparison to SAP. On the other hand, SAP can be found at any ophthalmological center even though it </w:t>
      </w:r>
      <w:r w:rsidR="00CF4697" w:rsidRPr="008B2CC8">
        <w:rPr>
          <w:rFonts w:cs="Arial"/>
          <w:color w:val="000000" w:themeColor="text1"/>
          <w:sz w:val="22"/>
          <w:szCs w:val="22"/>
          <w:lang w:val="en-US"/>
        </w:rPr>
        <w:t>relies</w:t>
      </w:r>
      <w:r w:rsidRPr="008B2CC8">
        <w:rPr>
          <w:rFonts w:cs="Arial"/>
          <w:color w:val="000000" w:themeColor="text1"/>
          <w:sz w:val="22"/>
          <w:szCs w:val="22"/>
          <w:lang w:val="en-US"/>
        </w:rPr>
        <w:t xml:space="preserve"> on patient cooperation.</w:t>
      </w:r>
    </w:p>
    <w:p w14:paraId="5A91C106" w14:textId="77777777" w:rsidR="00A55B63" w:rsidRPr="008B2CC8" w:rsidRDefault="00A55B63" w:rsidP="00A55B63">
      <w:pPr>
        <w:spacing w:line="360" w:lineRule="auto"/>
        <w:ind w:firstLine="284"/>
        <w:rPr>
          <w:rFonts w:cs="Arial"/>
          <w:sz w:val="22"/>
          <w:szCs w:val="22"/>
          <w:lang w:val="en-US"/>
        </w:rPr>
      </w:pPr>
      <w:r w:rsidRPr="008B2CC8">
        <w:rPr>
          <w:rFonts w:cs="Arial"/>
          <w:sz w:val="22"/>
          <w:szCs w:val="22"/>
          <w:lang w:val="en-US"/>
        </w:rPr>
        <w:t>The main shortcoming of our study is its modest sample size, which may limit the power to detect significant differences when subgroup analyses are performed. Even so, statistically significant differences were found.</w:t>
      </w:r>
    </w:p>
    <w:p w14:paraId="7E9B66F6" w14:textId="70D3D1E6" w:rsidR="00A55B63" w:rsidRPr="008B2CC8" w:rsidRDefault="00A55B63" w:rsidP="0071431F">
      <w:pPr>
        <w:spacing w:line="360" w:lineRule="auto"/>
        <w:ind w:firstLine="284"/>
        <w:rPr>
          <w:rFonts w:cs="Arial"/>
          <w:color w:val="000000" w:themeColor="text1"/>
          <w:sz w:val="22"/>
          <w:szCs w:val="22"/>
          <w:lang w:val="en-US"/>
        </w:rPr>
      </w:pPr>
      <w:r w:rsidRPr="008B2CC8">
        <w:rPr>
          <w:rFonts w:cs="Arial"/>
          <w:bCs/>
          <w:color w:val="000000" w:themeColor="text1"/>
          <w:sz w:val="22"/>
          <w:szCs w:val="22"/>
          <w:lang w:val="en-US"/>
        </w:rPr>
        <w:t xml:space="preserve">The correlation of functional tests and structure changes are important to better understand the disease and play a role as a critical analysis of prognosis/severity. </w:t>
      </w:r>
      <w:r w:rsidR="0071431F" w:rsidRPr="008B2CC8">
        <w:rPr>
          <w:rFonts w:cs="Arial"/>
          <w:sz w:val="22"/>
          <w:szCs w:val="22"/>
          <w:lang w:val="en-US"/>
        </w:rPr>
        <w:t xml:space="preserve">Functional (SAP and mfERG) and structural (OCT) exams are important in the follow-up of patients with non-acute VKHD to provide an extensive understanding and more refined evaluation of visual function. </w:t>
      </w:r>
      <w:r w:rsidRPr="008B2CC8">
        <w:rPr>
          <w:rFonts w:cs="Arial"/>
          <w:bCs/>
          <w:color w:val="000000" w:themeColor="text1"/>
          <w:sz w:val="22"/>
          <w:szCs w:val="22"/>
          <w:lang w:val="en-US"/>
        </w:rPr>
        <w:t>To our knowledge, the present study is the first to</w:t>
      </w:r>
      <w:r w:rsidRPr="008B2CC8">
        <w:rPr>
          <w:rFonts w:cs="Arial"/>
          <w:color w:val="000000" w:themeColor="text1"/>
          <w:sz w:val="22"/>
          <w:szCs w:val="22"/>
          <w:lang w:val="en-US"/>
        </w:rPr>
        <w:t xml:space="preserve"> investigate the correlations between these measurements in patients with non-acute VKHD, differently from previous studies that compared only VA and  structural measurements </w:t>
      </w:r>
      <w:r w:rsidRPr="008B2CC8">
        <w:rPr>
          <w:rFonts w:cs="Arial"/>
          <w:color w:val="000000" w:themeColor="text1"/>
          <w:sz w:val="22"/>
          <w:szCs w:val="22"/>
          <w:lang w:val="en-US"/>
        </w:rPr>
        <w:fldChar w:fldCharType="begin" w:fldLock="1"/>
      </w:r>
      <w:r w:rsidRPr="008B2CC8">
        <w:rPr>
          <w:rFonts w:cs="Arial"/>
          <w:color w:val="000000" w:themeColor="text1"/>
          <w:sz w:val="22"/>
          <w:szCs w:val="22"/>
          <w:lang w:val="en-US"/>
        </w:rPr>
        <w:instrText>ADDIN CSL_CITATION {"citationItems":[{"id":"ITEM-1","itemData":{"DOI":"10.1155/2015/916485","ISSN":"20900058","abstract":"Purpose. To characterize the optical coherence tomography (OCT) findings in late-stage Vogt-Koyanagi-Harada (VKH) disease and its correlation with visual function. Methods. The records of patients with late-stage VKH disease (defined as ≥12 months from disease onset) were retrospectively reviewed. The analysis focused on the OCT findings and microperimetry, in addition to the possible correlation between morphology and functional findings. Results. Twenty-nine patients (58 eyes) were included. Mean age at onset was 34.24 ± 10.67 years. The OCT revealed that the outer retina and retinal pigment epithelium (RPE) were mainly affected. These effects included RPE thickening and breakage or disappearance of the cone outer segment tip (COST) line and/or inner segment/outer segment (IS/OS) junction. The COST line and IS/OS results were related to macular function and the interval between symptom onset and initiation of high-dose corticosteroid treatment (all P&lt;0.01). Eyes with intact COST lines demonstrated intact IS/OS and normal RPE layers as well as better visual function and normal retinal sensitivity. Conclusions. The OCT findings are strongly correlated with macular function, as well as other clinical findings in late-stage VKH. With respect to the COST line and retinal sensitivity especially, the OCT and microperimetry findings may be useful for evaluating later-stage VKH.","author":[{"dropping-particle":"","family":"Zhou","given":"Min","non-dropping-particle":"","parse-names":false,"suffix":""},{"dropping-particle":"","family":"Jiang","given":"Chunhui","non-dropping-particle":"","parse-names":false,"suffix":""},{"dropping-particle":"","family":"Gu","given":"Ruiping","non-dropping-particle":"","parse-names":false,"suffix":""},{"dropping-particle":"","family":"Sun","given":"Zhongcui","non-dropping-particle":"","parse-names":false,"suffix":""},{"dropping-particle":"","family":"Huynh","given":"Nancy","non-dropping-particle":"","parse-names":false,"suffix":""},{"dropping-particle":"","family":"Chang","given":"Qing","non-dropping-particle":"","parse-names":false,"suffix":""}],"container-title":"Journal of Ophthalmology","id":"ITEM-1","issued":{"date-parts":[["2015"]]},"title":"Correlation between Retinal Changes and Visual Function in Late-Stage Vogt-Koyanagi-Harada Disease: An Optical Coherence Tomography Study","type":"article-journal"},"uris":["http://www.mendeley.com/documents/?uuid=885ee229-844f-4ade-abd4-1d8264a70988"]},{"id":"ITEM-2","itemData":{"DOI":"10.1007/s00417-005-1156-3","ISSN":"0721832X","abstract":"Background: Vogt-Koyanagi-Harada (VKH) disease presents with anterior segment inflammation, choroiditis and exudative retinal detachment. Following resolution of the inflammation, VKH patients have been noted to complain of visual disturbances despite good visual acuity. We therefore investigated the visual function deficits of convalescent VKH patients. Methods: A cross-sectional observational nonrandomized controlled study of convalescent VKH patients from the Uveitis Service of the Singapore National Eye Centre, and normal subjects was performed. The best-corrected visual acuities (BCVA) and multifocal electroretinograms (mfERGs) of VKH patients with and without peripapillary atrophy (PPA) were compared with those of the normal eyes. The mfERG results were subdivided into those obtained from the peripapillary area and those from the rest of the macular. Results: Eleven VKH eyes with large PPA to disc ratios (PPA/D ratio &gt;2), 15 VKH eyes with PPA/D ratios &lt; 1 and 6 normal eyes were included in the study. Five eyes (54.5%) of VKH patients with PPA/D&gt;2 had a BCVA of less than 20/40. All the other eyes had 20/20 vision. Nine of the 11 VKH eyes with PPA/D&gt;2 also had large areas of chorioretinal atrophy. The mfERG responses of VKH eyes with PPA/D ratio &gt;2 were markedly reduced in amplitude (p&lt;0.001) and delayed in implicit time (p&lt;0.001) throughout the entire macular area. VKH patients with PPA/D ratio&lt;1 had significantly reduced mfERG amplitudes throughout the entire macular area, as well as delayed implicit times at the peripapillary region (p=0.026). Sub-division of VKH eyes with PPA/D&lt;1 into eyes with no PPA and eyes with a small PPA, showed that both groups had a similar reduction in response amplitude over the entire macular region. However, the implicit time was significantly delayed in eyes with small PPA when compared to those without PPA (p&lt;0.03). Conclusions: VKH patients with large PPA have clinically significant visual dysfunction. VKH patients without PPA also have subclinical retinal dysfunction. The mfERG may be a useful adjunct in the management of VKH by detecting early retinal damage. © Springer-Verlag 2005.","author":[{"dropping-particle":"","family":"Chee","given":"Soon Phaik","non-dropping-particle":"","parse-names":false,"suffix":""},{"dropping-particle":"","family":"Luu","given":"Chi D.","non-dropping-particle":"","parse-names":false,"suffix":""},{"dropping-particle":"","family":"Cheng Ching-Li","given":"C. L.","non-dropping-particle":"","parse-names":false,"suffix":""},{"dropping-particle":"","family":"Lim","given":"Wee Kiak","non-dropping-particle":"","parse-names":false,"suffix":""},{"dropping-particle":"","family":"Jap","given":"Aliza","non-dropping-particle":"","parse-names":false,"suffix":""}],"container-title":"Graefe's Archive for Clinical and Experimental Ophthalmology","id":"ITEM-2","issued":{"date-parts":[["2005"]]},"title":"Visual function in Vogt-Koyanagi-Harada patients","type":"article-journal"},"uris":["http://www.mendeley.com/documents/?uuid=af848156-639a-456c-95ac-b2fdff12c3e1"]},{"id":"ITEM-3","itemData":{"DOI":"10.1007/s12348-011-0055-5","ISSN":"18695760","abstract":"Purpose: To investigate the changes of color vision and central visual field in a cohort of patients with Vogt-Koyanagi-Harada (VKH) syndrome. Methods: Sixteen VKH patients (32 eyes) were enrolled in this study. All the patients were treated with immunosuppressive agents. The best visual acuity, visual field testing and color vision testing were available from the records in all these patients at different time points, i.e. before treatment and 1 month (±7 days), 3 months (±15 days), 6 months (±20 days) and 12 months (±30 days) after treatment. Results: All patients showed active intraocular inflammation at their first visit. A decreased visual acuity, abnormality of color vision and abnormal visual field were observed at presentation. Visual acuity and color vision rapidly improved at 1 and 3 months and gradually improved thereafter. Visual field defects significantly improved at 6 months and gradually improved thereafter. However, visual field defects were still observed in 27.5% of the tested patients following a 12-month treatment. Color vision returned to the normal level only in about one-third of these patients at this time point. Conclusions: Visual function was severely impaired in VKH patients with active uveitis but rapidly improved following immunosuppressive therapy. Visual fields are much more severely affected by the disease than visual acuity and its improvement lagged behind that of visual acuity and color vision. © 2012 Springer-Verlag.","author":[{"dropping-particle":"","family":"Yang","given":"Peizeng","non-dropping-particle":"","parse-names":false,"suffix":""},{"dropping-particle":"","family":"Sun","given":"Min","non-dropping-particle":"","parse-names":false,"suffix":""},{"dropping-particle":"","family":"Liu","given":"Xiaoli","non-dropping-particle":"","parse-names":false,"suffix":""},{"dropping-particle":"","family":"Zhou","given":"Hongyan","non-dropping-particle":"","parse-names":false,"suffix":""},{"dropping-particle":"","family":"Fang","given":"Wang","non-dropping-particle":"","parse-names":false,"suffix":""},{"dropping-particle":"","family":"Wang","given":"Li","non-dropping-particle":"","parse-names":false,"suffix":""},{"dropping-particle":"","family":"Kijlstra","given":"Aize","non-dropping-particle":"","parse-names":false,"suffix":""}],"container-title":"Journal of Ophthalmic Inflammation and Infection","id":"ITEM-3","issued":{"date-parts":[["2012"]]},"title":"Alterations of color vision and central visual field in patients with Vogt-Koyanagi-Harada syndrome","type":"article-journal"},"uris":["http://www.mendeley.com/documents/?uuid=ef442d5e-520b-4541-811b-f74627b48862"]},{"id":"ITEM-4","itemData":{"DOI":"10.1016/j.ajo.2008.05.044","ISSN":"00029394","abstract":"Purpose: We longitudinally investigated macular function by multifocal electroretinography (mfERG) in a cohort of patients with Vogt-Koyanagi-Harada (VKH) syndrome. Design: Prospective study. Methods: VKH syndrome was diagnosed in 11 patients (22 eyes) according to history and ocular examinations. They were treated with immunosuppressive agents and the macular function was evaluated using best-corrected visual acuity (BCVA) and mfERG before treatment and one, three, six, and 12 months after treatment. Results: All investigated patients with VKH syndrome showed active intraocular inflammation at their first visit. A decreased visual acuity (VA) and abnormalities of mfERG were observed in all these patients. VA rapidly improved at one and three months and gradually improved thereafter. All but one eye achieved a BCVA of ≥20/25 at 12 months following treatment. The N1 amplitude and latency were significantly improved at three and six months and continuously improved thereafter. The P1 amplitude and latency were significantly improved at one and three months and progressively improved thereafter. However, the amplitude of N1 and P1 waves was still significantly decreased at 12 months. Conclusion: Macular function revealed by Snellen chart and mfERG is severely impaired in VKH patients with active uveitis. Treatment with immunosuppressive agents leads to an earlier, faster, and better recovery of VA, and a delayed but limited recovery of macular function as indicated by mfERG at 12 months. MfERG could be an ancillary test that may be useful in guiding therapy of patients with VKH syndrome. © 2008 Elsevier Inc. All rights reserved.","author":[{"dropping-particle":"","family":"Yang","given":"Peizeng","non-dropping-particle":"","parse-names":false,"suffix":""},{"dropping-particle":"","family":"Fang","given":"Wang","non-dropping-particle":"","parse-names":false,"suffix":""},{"dropping-particle":"","family":"Wang","given":"Li","non-dropping-particle":"","parse-names":false,"suffix":""},{"dropping-particle":"","family":"Wen","given":"Feng","non-dropping-particle":"","parse-names":false,"suffix":""},{"dropping-particle":"","family":"Wu","given":"Weiju","non-dropping-particle":"","parse-names":false,"suffix":""},{"dropping-particle":"","family":"Kijlstra","given":"Aize","non-dropping-particle":"","parse-names":false,"suffix":""}],"container-title":"American Journal of Ophthalmology","id":"ITEM-4","issued":{"date-parts":[["2008"]]},"title":"Study of Macular Function by Multifocal Electroretinography in Patients With Vogt-Koyanagi-Harada Syndrome","type":"article-journal"},"uris":["http://www.mendeley.com/documents/?uuid=65a21fb8-310f-4b5f-af2f-4bd725b2e9cf"]}],"mendeley":{"formattedCitation":"[4, 5, 7, 11]","plainTextFormattedCitation":"[4, 5, 7, 11]","previouslyFormattedCitation":"[4, 5, 7, 11]"},"properties":{"noteIndex":0},"schema":"https://github.com/citation-style-language/schema/raw/master/csl-citation.json"}</w:instrText>
      </w:r>
      <w:r w:rsidRPr="008B2CC8">
        <w:rPr>
          <w:rFonts w:cs="Arial"/>
          <w:color w:val="000000" w:themeColor="text1"/>
          <w:sz w:val="22"/>
          <w:szCs w:val="22"/>
          <w:lang w:val="en-US"/>
        </w:rPr>
        <w:fldChar w:fldCharType="separate"/>
      </w:r>
      <w:r w:rsidRPr="008B2CC8">
        <w:rPr>
          <w:rFonts w:cs="Arial"/>
          <w:noProof/>
          <w:color w:val="000000" w:themeColor="text1"/>
          <w:sz w:val="22"/>
          <w:szCs w:val="22"/>
          <w:lang w:val="en-US"/>
        </w:rPr>
        <w:t>[4, 5, 7, 11]</w:t>
      </w:r>
      <w:r w:rsidRPr="008B2CC8">
        <w:rPr>
          <w:rFonts w:cs="Arial"/>
          <w:color w:val="000000" w:themeColor="text1"/>
          <w:sz w:val="22"/>
          <w:szCs w:val="22"/>
          <w:lang w:val="en-US"/>
        </w:rPr>
        <w:fldChar w:fldCharType="end"/>
      </w:r>
      <w:r w:rsidRPr="008B2CC8">
        <w:rPr>
          <w:rFonts w:cs="Arial"/>
          <w:color w:val="000000" w:themeColor="text1"/>
          <w:sz w:val="22"/>
          <w:szCs w:val="22"/>
          <w:lang w:val="en-US"/>
        </w:rPr>
        <w:t>.</w:t>
      </w:r>
      <w:r w:rsidR="0071431F" w:rsidRPr="008B2CC8">
        <w:rPr>
          <w:rFonts w:cs="Arial"/>
          <w:color w:val="000000" w:themeColor="text1"/>
          <w:sz w:val="22"/>
          <w:szCs w:val="22"/>
          <w:lang w:val="en-US"/>
        </w:rPr>
        <w:t xml:space="preserve"> </w:t>
      </w:r>
      <w:r w:rsidRPr="008B2CC8">
        <w:rPr>
          <w:rFonts w:cs="Arial"/>
          <w:bCs/>
          <w:sz w:val="22"/>
          <w:szCs w:val="22"/>
          <w:lang w:val="en-US"/>
        </w:rPr>
        <w:t>In future studies, follow-up should be done with these patients to observe the dynamic changes that occur over time.</w:t>
      </w:r>
    </w:p>
    <w:p w14:paraId="2AC9F024" w14:textId="77777777" w:rsidR="00A55B63" w:rsidRPr="00C2349B" w:rsidRDefault="00A55B63" w:rsidP="00A55B63">
      <w:pPr>
        <w:spacing w:line="360" w:lineRule="auto"/>
        <w:rPr>
          <w:rFonts w:cs="Arial"/>
          <w:bCs/>
          <w:sz w:val="20"/>
          <w:szCs w:val="20"/>
          <w:lang w:val="en-US"/>
        </w:rPr>
      </w:pPr>
    </w:p>
    <w:p w14:paraId="200E69D3" w14:textId="77777777" w:rsidR="00A55B63" w:rsidRPr="00BE4CF5" w:rsidRDefault="00A55B63" w:rsidP="00BE4CF5">
      <w:pPr>
        <w:spacing w:line="276" w:lineRule="auto"/>
        <w:jc w:val="both"/>
        <w:rPr>
          <w:rFonts w:cs="Arial"/>
          <w:b/>
          <w:bCs/>
          <w:sz w:val="20"/>
          <w:szCs w:val="20"/>
        </w:rPr>
      </w:pPr>
      <w:r w:rsidRPr="00BE4CF5">
        <w:rPr>
          <w:rFonts w:cs="Arial"/>
          <w:b/>
          <w:bCs/>
          <w:sz w:val="20"/>
          <w:szCs w:val="20"/>
        </w:rPr>
        <w:t>REFERENCES</w:t>
      </w:r>
    </w:p>
    <w:p w14:paraId="29B42ECA" w14:textId="13D86F86" w:rsidR="006659E9" w:rsidRPr="00BE4CF5" w:rsidRDefault="00A55B63" w:rsidP="00BE4CF5">
      <w:pPr>
        <w:widowControl w:val="0"/>
        <w:autoSpaceDE w:val="0"/>
        <w:autoSpaceDN w:val="0"/>
        <w:adjustRightInd w:val="0"/>
        <w:spacing w:line="276" w:lineRule="auto"/>
        <w:ind w:left="640" w:hanging="640"/>
        <w:rPr>
          <w:noProof/>
          <w:sz w:val="20"/>
          <w:szCs w:val="28"/>
          <w:lang w:val="en-US"/>
        </w:rPr>
      </w:pPr>
      <w:r w:rsidRPr="00BE4CF5">
        <w:rPr>
          <w:rFonts w:cs="Arial"/>
          <w:sz w:val="20"/>
          <w:szCs w:val="20"/>
          <w:lang w:val="en-US"/>
        </w:rPr>
        <w:fldChar w:fldCharType="begin" w:fldLock="1"/>
      </w:r>
      <w:r w:rsidRPr="00BE4CF5">
        <w:rPr>
          <w:rFonts w:cs="Arial"/>
          <w:sz w:val="20"/>
          <w:szCs w:val="20"/>
        </w:rPr>
        <w:instrText xml:space="preserve">ADDIN Mendeley Bibliography CSL_BIBLIOGRAPHY </w:instrText>
      </w:r>
      <w:r w:rsidRPr="00BE4CF5">
        <w:rPr>
          <w:rFonts w:cs="Arial"/>
          <w:sz w:val="20"/>
          <w:szCs w:val="20"/>
          <w:lang w:val="en-US"/>
        </w:rPr>
        <w:fldChar w:fldCharType="separate"/>
      </w:r>
      <w:r w:rsidR="006659E9" w:rsidRPr="00BE4CF5">
        <w:rPr>
          <w:noProof/>
          <w:sz w:val="20"/>
          <w:szCs w:val="28"/>
        </w:rPr>
        <w:t xml:space="preserve">1. </w:t>
      </w:r>
      <w:r w:rsidR="006659E9" w:rsidRPr="00BE4CF5">
        <w:rPr>
          <w:noProof/>
          <w:sz w:val="20"/>
          <w:szCs w:val="28"/>
        </w:rPr>
        <w:tab/>
        <w:t xml:space="preserve">Moorthy RS, Inomata H, Rao NA (1995) Vogt-Koyanagi-Harada syndrome. </w:t>
      </w:r>
      <w:r w:rsidR="006659E9" w:rsidRPr="00BE4CF5">
        <w:rPr>
          <w:noProof/>
          <w:sz w:val="20"/>
          <w:szCs w:val="28"/>
          <w:lang w:val="en-US"/>
        </w:rPr>
        <w:t>Surv. Ophthalmol.</w:t>
      </w:r>
    </w:p>
    <w:p w14:paraId="0073CFD5"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2. </w:t>
      </w:r>
      <w:r w:rsidRPr="00BE4CF5">
        <w:rPr>
          <w:noProof/>
          <w:sz w:val="20"/>
          <w:szCs w:val="28"/>
          <w:lang w:val="en-US"/>
        </w:rPr>
        <w:tab/>
        <w:t>Lavezzo MM, Sakata VM, Morita C, et al (2016) Vogt-Koyanagi-Harada disease: Review of a rare autoimmune disease targeting antigens of melanocytes. Orphanet J. Rare Dis. 11</w:t>
      </w:r>
    </w:p>
    <w:p w14:paraId="75F8DDB1"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3. </w:t>
      </w:r>
      <w:r w:rsidRPr="00BE4CF5">
        <w:rPr>
          <w:noProof/>
          <w:sz w:val="20"/>
          <w:szCs w:val="28"/>
          <w:lang w:val="en-US"/>
        </w:rPr>
        <w:tab/>
        <w:t>Moschos MM, Gouliopoulos NS, Kalogeropoulos C (2014) Electrophysiological examination in uveitis: A review of the literature. Clin. Ophthalmol.</w:t>
      </w:r>
    </w:p>
    <w:p w14:paraId="675DBBCC"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4. </w:t>
      </w:r>
      <w:r w:rsidRPr="00BE4CF5">
        <w:rPr>
          <w:noProof/>
          <w:sz w:val="20"/>
          <w:szCs w:val="28"/>
          <w:lang w:val="en-US"/>
        </w:rPr>
        <w:tab/>
        <w:t>Chee SP, Luu CD, Cheng Ching-Li CL, et al (2005) Visual function in Vogt-Koyanagi-Harada patients. Graefe’s Arch Clin Exp Ophthalmol. https://doi.org/10.1007/s00417-005-1156-3</w:t>
      </w:r>
    </w:p>
    <w:p w14:paraId="11FA6717"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5. </w:t>
      </w:r>
      <w:r w:rsidRPr="00BE4CF5">
        <w:rPr>
          <w:noProof/>
          <w:sz w:val="20"/>
          <w:szCs w:val="28"/>
          <w:lang w:val="en-US"/>
        </w:rPr>
        <w:tab/>
        <w:t>Yang P, Fang W, Wang L, et al (2008) Study of Macular Function by Multifocal Electroretinography in Patients With Vogt-Koyanagi-Harada Syndrome. Am J Ophthalmol. https://doi.org/10.1016/j.ajo.2008.05.044</w:t>
      </w:r>
    </w:p>
    <w:p w14:paraId="4E5198FF"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6. </w:t>
      </w:r>
      <w:r w:rsidRPr="00BE4CF5">
        <w:rPr>
          <w:noProof/>
          <w:sz w:val="20"/>
          <w:szCs w:val="28"/>
          <w:lang w:val="en-US"/>
        </w:rPr>
        <w:tab/>
        <w:t xml:space="preserve">Ledolter AA, Monhart M, Schoetzau A, et al (2015) Structural and functional changes in glaucoma: comparing the two-flash multifocal electroretinogram to optical coherence </w:t>
      </w:r>
      <w:r w:rsidRPr="00BE4CF5">
        <w:rPr>
          <w:noProof/>
          <w:sz w:val="20"/>
          <w:szCs w:val="28"/>
          <w:lang w:val="en-US"/>
        </w:rPr>
        <w:lastRenderedPageBreak/>
        <w:t>tomography and visual fields. Doc Ophthalmol. https://doi.org/10.1007/s10633-015-9482-1</w:t>
      </w:r>
    </w:p>
    <w:p w14:paraId="2B675EF5"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7. </w:t>
      </w:r>
      <w:r w:rsidRPr="00BE4CF5">
        <w:rPr>
          <w:noProof/>
          <w:sz w:val="20"/>
          <w:szCs w:val="28"/>
          <w:lang w:val="en-US"/>
        </w:rPr>
        <w:tab/>
        <w:t>Yang P, Sun M, Liu X, et al (2012) Alterations of color vision and central visual field in patients with Vogt-Koyanagi-Harada syndrome. J Ophthalmic Inflamm Infect. https://doi.org/10.1007/s12348-011-0055-5</w:t>
      </w:r>
    </w:p>
    <w:p w14:paraId="37B29B32"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8. </w:t>
      </w:r>
      <w:r w:rsidRPr="00BE4CF5">
        <w:rPr>
          <w:noProof/>
          <w:sz w:val="20"/>
          <w:szCs w:val="28"/>
          <w:lang w:val="en-US"/>
        </w:rPr>
        <w:tab/>
        <w:t>Moon CH, Park TK, Ohn YH (2012) Association between multifocal electroretinograms, optical coherence tomography and central visual sensitivity in advanced retinitis pigmentosa. Doc Ophthalmol. https://doi.org/10.1007/s10633-012-9342-1</w:t>
      </w:r>
    </w:p>
    <w:p w14:paraId="59F89DDC"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9. </w:t>
      </w:r>
      <w:r w:rsidRPr="00BE4CF5">
        <w:rPr>
          <w:noProof/>
          <w:sz w:val="20"/>
          <w:szCs w:val="28"/>
          <w:lang w:val="en-US"/>
        </w:rPr>
        <w:tab/>
        <w:t>Itoh Y, Inoue M, Rii T, et al (2013) Correlation between foveal cone outer segment tips line and visual recovery after epiretinal membrane surgery. Investig Ophthalmol Vis Sci. https://doi.org/10.1167/iovs.13-12702</w:t>
      </w:r>
    </w:p>
    <w:p w14:paraId="31CCF2D0"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10. </w:t>
      </w:r>
      <w:r w:rsidRPr="00BE4CF5">
        <w:rPr>
          <w:noProof/>
          <w:sz w:val="20"/>
          <w:szCs w:val="28"/>
          <w:lang w:val="en-US"/>
        </w:rPr>
        <w:tab/>
        <w:t>Fujita K, Shinoda K, Imamura Y, et al (2012) Correlation of integrity of cone outer segment tips line with retinal sensitivity after half-dose photodynamic therapy for chronic central serous chorioretinopathy. Am J Ophthalmol. https://doi.org/10.1016/j.ajo.2012.03.043</w:t>
      </w:r>
    </w:p>
    <w:p w14:paraId="1E8BF300"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11. </w:t>
      </w:r>
      <w:r w:rsidRPr="00BE4CF5">
        <w:rPr>
          <w:noProof/>
          <w:sz w:val="20"/>
          <w:szCs w:val="28"/>
          <w:lang w:val="en-US"/>
        </w:rPr>
        <w:tab/>
        <w:t>Zhou M, Jiang C, Gu R, et al (2015) Correlation between Retinal Changes and Visual Function in Late-Stage Vogt-Koyanagi-Harada Disease: An Optical Coherence Tomography Study. J Ophthalmol. https://doi.org/10.1155/2015/916485</w:t>
      </w:r>
    </w:p>
    <w:p w14:paraId="79F60DE1"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12. </w:t>
      </w:r>
      <w:r w:rsidRPr="00BE4CF5">
        <w:rPr>
          <w:noProof/>
          <w:sz w:val="20"/>
          <w:szCs w:val="28"/>
          <w:lang w:val="en-US"/>
        </w:rPr>
        <w:tab/>
        <w:t>Wen Y, Klein M, Hood DC, Birch DG (2012) Relationships among Multifocal Electroretinogram Amplitude, Visual Field Sensitivity, and SD-OCT Receptor Layer Thicknesses in Patients with Retinitis Pigmentosa. Investig Ophthalmol Vis Sci. https://doi.org/10.1167/iovs.11-8410</w:t>
      </w:r>
    </w:p>
    <w:p w14:paraId="6F7F6A7F"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13. </w:t>
      </w:r>
      <w:r w:rsidRPr="00BE4CF5">
        <w:rPr>
          <w:noProof/>
          <w:sz w:val="20"/>
          <w:szCs w:val="28"/>
          <w:lang w:val="en-US"/>
        </w:rPr>
        <w:tab/>
        <w:t>Ruberto G, Bruttini C, Tinelli C, et al (2018) Early morpho-functional changes in patients treated with hydroxychloroquine: a prospective cohort study. Graefe’s Arch. Clin. Exp. Ophthalmol.</w:t>
      </w:r>
    </w:p>
    <w:p w14:paraId="06256A6C"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14. </w:t>
      </w:r>
      <w:r w:rsidRPr="00BE4CF5">
        <w:rPr>
          <w:noProof/>
          <w:sz w:val="20"/>
          <w:szCs w:val="28"/>
          <w:lang w:val="en-US"/>
        </w:rPr>
        <w:tab/>
        <w:t>Xiaoyun MA, Dongyi HE, Linping HE (2010) Assessing chloroquine toxicity in RA patients using retinal nerve fibre layer thickness, multifocal electroretinography and visual field test. Br J Ophthalmol. https://doi.org/10.1136/bjo.2009.171082</w:t>
      </w:r>
    </w:p>
    <w:p w14:paraId="64707471"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15. </w:t>
      </w:r>
      <w:r w:rsidRPr="00BE4CF5">
        <w:rPr>
          <w:noProof/>
          <w:sz w:val="20"/>
          <w:szCs w:val="28"/>
          <w:lang w:val="en-US"/>
        </w:rPr>
        <w:tab/>
        <w:t>Lung JCY, Swann PG, Wong DSH, Chan HHL (2012) Global flash multifocal electroretinogram: early detection of local functional changes and its correlations with optical coherence tomography and visual field tests in diabetic eyes. Doc Ophthalmol. https://doi.org/10.1007/s10633-012-9343-0</w:t>
      </w:r>
    </w:p>
    <w:p w14:paraId="493010A1"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16. </w:t>
      </w:r>
      <w:r w:rsidRPr="00BE4CF5">
        <w:rPr>
          <w:noProof/>
          <w:sz w:val="20"/>
          <w:szCs w:val="28"/>
          <w:lang w:val="en-US"/>
        </w:rPr>
        <w:tab/>
        <w:t>Mailhac A, Labarere J, Aptel F, et al (2019) Five-Year Trends in Multifocal Electroretinogram for Patients With Birdshot Chorioretinopathy. Am J Ophthalmol. https://doi.org/10.1016/j.ajo.2018.11.022</w:t>
      </w:r>
    </w:p>
    <w:p w14:paraId="53FADAD0"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17. </w:t>
      </w:r>
      <w:r w:rsidRPr="00BE4CF5">
        <w:rPr>
          <w:noProof/>
          <w:sz w:val="20"/>
          <w:szCs w:val="28"/>
          <w:lang w:val="en-US"/>
        </w:rPr>
        <w:tab/>
        <w:t>Georgiadou E, Moschos MM, Margetis I, et al (2012) Structural and functional outcomes after treatment of uveitic macular oedema: An optical coherence tomography and multifocal electroretinogram study. Clin Exp Optom. https://doi.org/10.1111/j.1444-0938.2011.00679.x</w:t>
      </w:r>
    </w:p>
    <w:p w14:paraId="59A92DBC"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18. </w:t>
      </w:r>
      <w:r w:rsidRPr="00BE4CF5">
        <w:rPr>
          <w:noProof/>
          <w:sz w:val="20"/>
          <w:szCs w:val="28"/>
          <w:lang w:val="en-US"/>
        </w:rPr>
        <w:tab/>
        <w:t>Read RW, Holland GN, Rao NA, et al (2001) Revised diagnostic criteria for Vogt-Koyanagi-Harada disease: Report of an international committee on nomenclature. Am J Ophthalmol. https://doi.org/10.1016/S0002-9394(01)00925-4</w:t>
      </w:r>
    </w:p>
    <w:p w14:paraId="4A4C6CC6"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19. </w:t>
      </w:r>
      <w:r w:rsidRPr="00BE4CF5">
        <w:rPr>
          <w:noProof/>
          <w:sz w:val="20"/>
          <w:szCs w:val="28"/>
          <w:lang w:val="en-US"/>
        </w:rPr>
        <w:tab/>
        <w:t>Hood DC, Bach M, Brigell M, et al (2012) ISCEV standard for clinical multifocal electroretinography (mfERG) (2011 edition). Doc Ophthalmol. https://doi.org/10.1007/s10633-011-9296-8</w:t>
      </w:r>
    </w:p>
    <w:p w14:paraId="70F5BBD9"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20. </w:t>
      </w:r>
      <w:r w:rsidRPr="00BE4CF5">
        <w:rPr>
          <w:noProof/>
          <w:sz w:val="20"/>
          <w:szCs w:val="28"/>
          <w:lang w:val="en-US"/>
        </w:rPr>
        <w:tab/>
        <w:t>McCulloch DL, Marmor MF, Brigell MG, et al (2015) ISCEV Standard for full-field clinical electroretinography (2015 update). Doc Ophthalmol. https://doi.org/10.1007/s10633-014-9473-7</w:t>
      </w:r>
    </w:p>
    <w:p w14:paraId="1E345E75"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21. </w:t>
      </w:r>
      <w:r w:rsidRPr="00BE4CF5">
        <w:rPr>
          <w:noProof/>
          <w:sz w:val="20"/>
          <w:szCs w:val="28"/>
          <w:lang w:val="en-US"/>
        </w:rPr>
        <w:tab/>
        <w:t>Lai TYY, Ngai JWS, Chan WM, Lam DSC (2006) Visual field and multifocal electroretinography and their correlations in patients on hydroxychloroquine therapy. Doc Ophthalmol. https://doi.org/10.1007/s10633-006-9006-0</w:t>
      </w:r>
    </w:p>
    <w:p w14:paraId="5A187443" w14:textId="77777777" w:rsidR="006659E9" w:rsidRPr="00BE4CF5" w:rsidRDefault="006659E9" w:rsidP="00BE4CF5">
      <w:pPr>
        <w:widowControl w:val="0"/>
        <w:autoSpaceDE w:val="0"/>
        <w:autoSpaceDN w:val="0"/>
        <w:adjustRightInd w:val="0"/>
        <w:spacing w:line="276" w:lineRule="auto"/>
        <w:ind w:left="640" w:hanging="640"/>
        <w:rPr>
          <w:noProof/>
          <w:sz w:val="20"/>
          <w:szCs w:val="28"/>
          <w:lang w:val="en-US"/>
        </w:rPr>
      </w:pPr>
      <w:r w:rsidRPr="00BE4CF5">
        <w:rPr>
          <w:noProof/>
          <w:sz w:val="20"/>
          <w:szCs w:val="28"/>
          <w:lang w:val="en-US"/>
        </w:rPr>
        <w:t xml:space="preserve">22. </w:t>
      </w:r>
      <w:r w:rsidRPr="00BE4CF5">
        <w:rPr>
          <w:noProof/>
          <w:sz w:val="20"/>
          <w:szCs w:val="28"/>
          <w:lang w:val="en-US"/>
        </w:rPr>
        <w:tab/>
        <w:t>Palmowski AM, Ruprecht KW (2004) Follow up in open angle glaucoma. A comparison of static perimetry and the fast stimulation mfERG. Doc Ophthalmol. https://doi.org/10.1023/B:DOOP.0000018430.81735.55</w:t>
      </w:r>
    </w:p>
    <w:p w14:paraId="77310C4C" w14:textId="77777777" w:rsidR="006659E9" w:rsidRPr="00BE4CF5" w:rsidRDefault="006659E9" w:rsidP="00BE4CF5">
      <w:pPr>
        <w:widowControl w:val="0"/>
        <w:autoSpaceDE w:val="0"/>
        <w:autoSpaceDN w:val="0"/>
        <w:adjustRightInd w:val="0"/>
        <w:spacing w:line="276" w:lineRule="auto"/>
        <w:ind w:left="640" w:hanging="640"/>
        <w:rPr>
          <w:noProof/>
          <w:sz w:val="20"/>
          <w:szCs w:val="28"/>
        </w:rPr>
      </w:pPr>
      <w:r w:rsidRPr="00BE4CF5">
        <w:rPr>
          <w:noProof/>
          <w:sz w:val="20"/>
          <w:szCs w:val="28"/>
          <w:lang w:val="en-US"/>
        </w:rPr>
        <w:t xml:space="preserve">23. </w:t>
      </w:r>
      <w:r w:rsidRPr="00BE4CF5">
        <w:rPr>
          <w:noProof/>
          <w:sz w:val="20"/>
          <w:szCs w:val="28"/>
          <w:lang w:val="en-US"/>
        </w:rPr>
        <w:tab/>
        <w:t xml:space="preserve">Han Y, Adams AJ, Bearse MA, Schneck ME (2004) Multifocal electroretinogram and short-wavelength automated perimetry measures in diabetic eyes with little or no retinopathy. </w:t>
      </w:r>
      <w:r w:rsidRPr="00BE4CF5">
        <w:rPr>
          <w:noProof/>
          <w:sz w:val="20"/>
          <w:szCs w:val="28"/>
        </w:rPr>
        <w:t>Arch Ophthalmol. https://doi.org/10.1001/archopht.122.12.1809</w:t>
      </w:r>
    </w:p>
    <w:p w14:paraId="268E1AC4" w14:textId="2FB1B745" w:rsidR="00EC3923" w:rsidRDefault="00A55B63" w:rsidP="00BE4CF5">
      <w:pPr>
        <w:widowControl w:val="0"/>
        <w:autoSpaceDE w:val="0"/>
        <w:autoSpaceDN w:val="0"/>
        <w:adjustRightInd w:val="0"/>
        <w:spacing w:line="276" w:lineRule="auto"/>
        <w:ind w:left="640" w:hanging="640"/>
      </w:pPr>
      <w:r w:rsidRPr="00BE4CF5">
        <w:rPr>
          <w:rFonts w:cs="Arial"/>
          <w:sz w:val="20"/>
          <w:szCs w:val="20"/>
          <w:lang w:val="en-US"/>
        </w:rPr>
        <w:fldChar w:fldCharType="end"/>
      </w:r>
    </w:p>
    <w:sectPr w:rsidR="00EC3923" w:rsidSect="000D351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335AC"/>
    <w:multiLevelType w:val="hybridMultilevel"/>
    <w:tmpl w:val="0598FE22"/>
    <w:lvl w:ilvl="0" w:tplc="4202AEBC">
      <w:numFmt w:val="bullet"/>
      <w:lvlText w:val=""/>
      <w:lvlJc w:val="left"/>
      <w:pPr>
        <w:ind w:left="720" w:hanging="360"/>
      </w:pPr>
      <w:rPr>
        <w:rFonts w:ascii="Wingdings" w:eastAsia="Calibri" w:hAnsi="Wingdings"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63"/>
    <w:rsid w:val="000A3C37"/>
    <w:rsid w:val="000D3514"/>
    <w:rsid w:val="001132CC"/>
    <w:rsid w:val="00343D00"/>
    <w:rsid w:val="00355294"/>
    <w:rsid w:val="00422A28"/>
    <w:rsid w:val="0045405C"/>
    <w:rsid w:val="005E3871"/>
    <w:rsid w:val="006659E9"/>
    <w:rsid w:val="00672CF3"/>
    <w:rsid w:val="0071431F"/>
    <w:rsid w:val="0080582A"/>
    <w:rsid w:val="008B2CC8"/>
    <w:rsid w:val="00943ED1"/>
    <w:rsid w:val="00961BF5"/>
    <w:rsid w:val="00A55B63"/>
    <w:rsid w:val="00A71DCB"/>
    <w:rsid w:val="00A97F8E"/>
    <w:rsid w:val="00AD6F5C"/>
    <w:rsid w:val="00B526DC"/>
    <w:rsid w:val="00BE4CF5"/>
    <w:rsid w:val="00C14432"/>
    <w:rsid w:val="00C77F1D"/>
    <w:rsid w:val="00CF4697"/>
    <w:rsid w:val="00D22DFE"/>
    <w:rsid w:val="00DE034E"/>
    <w:rsid w:val="00EC39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E6B7"/>
  <w15:docId w15:val="{8CD25C0E-F401-504E-BB52-D8402E0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63"/>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5B63"/>
    <w:rPr>
      <w:sz w:val="18"/>
      <w:szCs w:val="18"/>
    </w:rPr>
  </w:style>
  <w:style w:type="character" w:customStyle="1" w:styleId="TextodebaloChar">
    <w:name w:val="Texto de balão Char"/>
    <w:basedOn w:val="Fontepargpadro"/>
    <w:link w:val="Textodebalo"/>
    <w:uiPriority w:val="99"/>
    <w:semiHidden/>
    <w:rsid w:val="00A55B63"/>
    <w:rPr>
      <w:rFonts w:ascii="Times New Roman" w:eastAsia="Times New Roman" w:hAnsi="Times New Roman" w:cs="Times New Roman"/>
      <w:sz w:val="18"/>
      <w:szCs w:val="18"/>
      <w:lang w:eastAsia="pt-BR"/>
    </w:rPr>
  </w:style>
  <w:style w:type="paragraph" w:customStyle="1" w:styleId="Normal1">
    <w:name w:val="Normal1"/>
    <w:rsid w:val="00A55B63"/>
    <w:pPr>
      <w:spacing w:after="160" w:line="259" w:lineRule="auto"/>
    </w:pPr>
    <w:rPr>
      <w:rFonts w:ascii="Calibri" w:eastAsia="Calibri" w:hAnsi="Calibri" w:cs="Calibri"/>
      <w:sz w:val="22"/>
      <w:szCs w:val="22"/>
      <w:lang w:val="en-US" w:eastAsia="pt-BR"/>
    </w:rPr>
  </w:style>
  <w:style w:type="paragraph" w:styleId="Textodecomentrio">
    <w:name w:val="annotation text"/>
    <w:basedOn w:val="Normal"/>
    <w:link w:val="TextodecomentrioChar"/>
    <w:uiPriority w:val="99"/>
    <w:semiHidden/>
    <w:unhideWhenUsed/>
    <w:rsid w:val="00A55B63"/>
    <w:pPr>
      <w:spacing w:after="160"/>
    </w:pPr>
    <w:rPr>
      <w:rFonts w:ascii="Calibri" w:eastAsia="Calibri" w:hAnsi="Calibri" w:cs="Calibri"/>
      <w:sz w:val="20"/>
      <w:szCs w:val="20"/>
      <w:lang w:val="en-US"/>
    </w:rPr>
  </w:style>
  <w:style w:type="character" w:customStyle="1" w:styleId="TextodecomentrioChar">
    <w:name w:val="Texto de comentário Char"/>
    <w:basedOn w:val="Fontepargpadro"/>
    <w:link w:val="Textodecomentrio"/>
    <w:uiPriority w:val="99"/>
    <w:semiHidden/>
    <w:rsid w:val="00A55B63"/>
    <w:rPr>
      <w:rFonts w:ascii="Calibri" w:eastAsia="Calibri" w:hAnsi="Calibri" w:cs="Calibri"/>
      <w:sz w:val="20"/>
      <w:szCs w:val="20"/>
      <w:lang w:val="en-US" w:eastAsia="pt-BR"/>
    </w:rPr>
  </w:style>
  <w:style w:type="character" w:styleId="Refdecomentrio">
    <w:name w:val="annotation reference"/>
    <w:basedOn w:val="Fontepargpadro"/>
    <w:uiPriority w:val="99"/>
    <w:semiHidden/>
    <w:unhideWhenUsed/>
    <w:rsid w:val="00A55B63"/>
    <w:rPr>
      <w:sz w:val="16"/>
      <w:szCs w:val="16"/>
    </w:rPr>
  </w:style>
  <w:style w:type="paragraph" w:styleId="NormalWeb">
    <w:name w:val="Normal (Web)"/>
    <w:basedOn w:val="Normal"/>
    <w:uiPriority w:val="99"/>
    <w:unhideWhenUsed/>
    <w:rsid w:val="00A55B63"/>
    <w:pPr>
      <w:spacing w:before="100" w:beforeAutospacing="1" w:after="100" w:afterAutospacing="1"/>
    </w:pPr>
  </w:style>
  <w:style w:type="table" w:customStyle="1" w:styleId="6">
    <w:name w:val="6"/>
    <w:basedOn w:val="Tabelanormal"/>
    <w:rsid w:val="00A55B63"/>
    <w:pPr>
      <w:spacing w:after="200" w:line="276" w:lineRule="auto"/>
    </w:pPr>
    <w:rPr>
      <w:rFonts w:ascii="Calibri" w:eastAsia="Calibri" w:hAnsi="Calibri" w:cs="Calibri"/>
      <w:sz w:val="22"/>
      <w:szCs w:val="22"/>
      <w:lang w:val="en-US" w:eastAsia="pt-BR"/>
    </w:rPr>
    <w:tblPr>
      <w:tblStyleRowBandSize w:val="1"/>
      <w:tblStyleColBandSize w:val="1"/>
      <w:tblCellMar>
        <w:left w:w="115" w:type="dxa"/>
        <w:right w:w="115" w:type="dxa"/>
      </w:tblCellMar>
    </w:tblPr>
  </w:style>
  <w:style w:type="table" w:styleId="Tabelacomgrade">
    <w:name w:val="Table Grid"/>
    <w:basedOn w:val="Tabelanormal"/>
    <w:uiPriority w:val="59"/>
    <w:unhideWhenUsed/>
    <w:rsid w:val="00A55B63"/>
    <w:rPr>
      <w:rFonts w:ascii="Calibri" w:eastAsia="Calibri" w:hAnsi="Calibri" w:cs="Calibri"/>
      <w:sz w:val="22"/>
      <w:szCs w:val="22"/>
      <w:lang w:val="en-US"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A55B63"/>
    <w:pPr>
      <w:spacing w:after="0"/>
    </w:pPr>
    <w:rPr>
      <w:rFonts w:ascii="Times New Roman" w:eastAsia="Times New Roman" w:hAnsi="Times New Roman" w:cs="Times New Roman"/>
      <w:b/>
      <w:bCs/>
      <w:lang w:val="pt-BR"/>
    </w:rPr>
  </w:style>
  <w:style w:type="character" w:customStyle="1" w:styleId="AssuntodocomentrioChar">
    <w:name w:val="Assunto do comentário Char"/>
    <w:basedOn w:val="TextodecomentrioChar"/>
    <w:link w:val="Assuntodocomentrio"/>
    <w:uiPriority w:val="99"/>
    <w:semiHidden/>
    <w:rsid w:val="00A55B63"/>
    <w:rPr>
      <w:rFonts w:ascii="Times New Roman" w:eastAsia="Times New Roman" w:hAnsi="Times New Roman" w:cs="Times New Roman"/>
      <w:b/>
      <w:bCs/>
      <w:sz w:val="20"/>
      <w:szCs w:val="20"/>
      <w:lang w:val="en-US" w:eastAsia="pt-BR"/>
    </w:rPr>
  </w:style>
  <w:style w:type="paragraph" w:styleId="Reviso">
    <w:name w:val="Revision"/>
    <w:hidden/>
    <w:uiPriority w:val="99"/>
    <w:semiHidden/>
    <w:rsid w:val="00A55B63"/>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A55B63"/>
    <w:pPr>
      <w:tabs>
        <w:tab w:val="center" w:pos="4252"/>
        <w:tab w:val="right" w:pos="8504"/>
      </w:tabs>
    </w:pPr>
  </w:style>
  <w:style w:type="character" w:customStyle="1" w:styleId="CabealhoChar">
    <w:name w:val="Cabeçalho Char"/>
    <w:basedOn w:val="Fontepargpadro"/>
    <w:link w:val="Cabealho"/>
    <w:uiPriority w:val="99"/>
    <w:rsid w:val="00A55B63"/>
    <w:rPr>
      <w:rFonts w:ascii="Times New Roman" w:eastAsia="Times New Roman" w:hAnsi="Times New Roman" w:cs="Times New Roman"/>
      <w:lang w:eastAsia="pt-BR"/>
    </w:rPr>
  </w:style>
  <w:style w:type="character" w:styleId="Nmerodepgina">
    <w:name w:val="page number"/>
    <w:basedOn w:val="Fontepargpadro"/>
    <w:uiPriority w:val="99"/>
    <w:semiHidden/>
    <w:unhideWhenUsed/>
    <w:rsid w:val="00A5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rnanda.souto@yahoo.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Planilha1!$B$1</c:f>
              <c:strCache>
                <c:ptCount val="1"/>
                <c:pt idx="0">
                  <c:v>Group 1</c:v>
                </c:pt>
              </c:strCache>
            </c:strRef>
          </c:tx>
          <c:spPr>
            <a:solidFill>
              <a:schemeClr val="dk1">
                <a:tint val="88500"/>
              </a:schemeClr>
            </a:solidFill>
            <a:ln>
              <a:noFill/>
            </a:ln>
            <a:effectLst/>
          </c:spPr>
          <c:invertIfNegative val="0"/>
          <c:cat>
            <c:strRef>
              <c:f>Planilha1!$A$2:$A$7</c:f>
              <c:strCache>
                <c:ptCount val="6"/>
                <c:pt idx="0">
                  <c:v>Central sensitivity (dB)</c:v>
                </c:pt>
                <c:pt idx="1">
                  <c:v>Fovea (dB)</c:v>
                </c:pt>
                <c:pt idx="2">
                  <c:v>                                                                                                                                                                                                               MD (dB)</c:v>
                </c:pt>
                <c:pt idx="3">
                  <c:v>PSD (dB)</c:v>
                </c:pt>
                <c:pt idx="4">
                  <c:v>N1 amplitude (µV/deg2)</c:v>
                </c:pt>
                <c:pt idx="5">
                  <c:v>P1 amplitude (µV/deg2)</c:v>
                </c:pt>
              </c:strCache>
            </c:strRef>
          </c:cat>
          <c:val>
            <c:numRef>
              <c:f>Planilha1!$B$2:$B$7</c:f>
              <c:numCache>
                <c:formatCode>General</c:formatCode>
                <c:ptCount val="6"/>
                <c:pt idx="0">
                  <c:v>31.5</c:v>
                </c:pt>
                <c:pt idx="1">
                  <c:v>34.5</c:v>
                </c:pt>
                <c:pt idx="2">
                  <c:v>-3.1</c:v>
                </c:pt>
                <c:pt idx="3">
                  <c:v>2.8</c:v>
                </c:pt>
                <c:pt idx="4">
                  <c:v>10.6</c:v>
                </c:pt>
                <c:pt idx="5">
                  <c:v>39.9</c:v>
                </c:pt>
              </c:numCache>
            </c:numRef>
          </c:val>
          <c:extLst>
            <c:ext xmlns:c16="http://schemas.microsoft.com/office/drawing/2014/chart" uri="{C3380CC4-5D6E-409C-BE32-E72D297353CC}">
              <c16:uniqueId val="{00000000-018B-8746-B4B8-2F1391A00045}"/>
            </c:ext>
          </c:extLst>
        </c:ser>
        <c:ser>
          <c:idx val="1"/>
          <c:order val="1"/>
          <c:tx>
            <c:strRef>
              <c:f>Planilha1!$C$1</c:f>
              <c:strCache>
                <c:ptCount val="1"/>
                <c:pt idx="0">
                  <c:v>Group 2</c:v>
                </c:pt>
              </c:strCache>
            </c:strRef>
          </c:tx>
          <c:spPr>
            <a:solidFill>
              <a:schemeClr val="dk1">
                <a:tint val="55000"/>
              </a:schemeClr>
            </a:solidFill>
            <a:ln>
              <a:noFill/>
            </a:ln>
            <a:effectLst/>
          </c:spPr>
          <c:invertIfNegative val="0"/>
          <c:cat>
            <c:strRef>
              <c:f>Planilha1!$A$2:$A$7</c:f>
              <c:strCache>
                <c:ptCount val="6"/>
                <c:pt idx="0">
                  <c:v>Central sensitivity (dB)</c:v>
                </c:pt>
                <c:pt idx="1">
                  <c:v>Fovea (dB)</c:v>
                </c:pt>
                <c:pt idx="2">
                  <c:v>                                                                                                                                                                                                               MD (dB)</c:v>
                </c:pt>
                <c:pt idx="3">
                  <c:v>PSD (dB)</c:v>
                </c:pt>
                <c:pt idx="4">
                  <c:v>N1 amplitude (µV/deg2)</c:v>
                </c:pt>
                <c:pt idx="5">
                  <c:v>P1 amplitude (µV/deg2)</c:v>
                </c:pt>
              </c:strCache>
            </c:strRef>
          </c:cat>
          <c:val>
            <c:numRef>
              <c:f>Planilha1!$C$2:$C$7</c:f>
              <c:numCache>
                <c:formatCode>General</c:formatCode>
                <c:ptCount val="6"/>
                <c:pt idx="0">
                  <c:v>30.6</c:v>
                </c:pt>
                <c:pt idx="1">
                  <c:v>32</c:v>
                </c:pt>
                <c:pt idx="2">
                  <c:v>-6.9</c:v>
                </c:pt>
                <c:pt idx="3">
                  <c:v>5.8</c:v>
                </c:pt>
                <c:pt idx="4">
                  <c:v>7.8</c:v>
                </c:pt>
                <c:pt idx="5">
                  <c:v>32.299999999999997</c:v>
                </c:pt>
              </c:numCache>
            </c:numRef>
          </c:val>
          <c:extLst>
            <c:ext xmlns:c16="http://schemas.microsoft.com/office/drawing/2014/chart" uri="{C3380CC4-5D6E-409C-BE32-E72D297353CC}">
              <c16:uniqueId val="{00000001-018B-8746-B4B8-2F1391A00045}"/>
            </c:ext>
          </c:extLst>
        </c:ser>
        <c:ser>
          <c:idx val="2"/>
          <c:order val="2"/>
          <c:tx>
            <c:strRef>
              <c:f>Planilha1!$D$1</c:f>
              <c:strCache>
                <c:ptCount val="1"/>
                <c:pt idx="0">
                  <c:v>Group 3</c:v>
                </c:pt>
              </c:strCache>
            </c:strRef>
          </c:tx>
          <c:spPr>
            <a:solidFill>
              <a:schemeClr val="dk1">
                <a:tint val="75000"/>
              </a:schemeClr>
            </a:solidFill>
            <a:ln>
              <a:noFill/>
            </a:ln>
            <a:effectLst/>
          </c:spPr>
          <c:invertIfNegative val="0"/>
          <c:cat>
            <c:strRef>
              <c:f>Planilha1!$A$2:$A$7</c:f>
              <c:strCache>
                <c:ptCount val="6"/>
                <c:pt idx="0">
                  <c:v>Central sensitivity (dB)</c:v>
                </c:pt>
                <c:pt idx="1">
                  <c:v>Fovea (dB)</c:v>
                </c:pt>
                <c:pt idx="2">
                  <c:v>                                                                                                                                                                                                               MD (dB)</c:v>
                </c:pt>
                <c:pt idx="3">
                  <c:v>PSD (dB)</c:v>
                </c:pt>
                <c:pt idx="4">
                  <c:v>N1 amplitude (µV/deg2)</c:v>
                </c:pt>
                <c:pt idx="5">
                  <c:v>P1 amplitude (µV/deg2)</c:v>
                </c:pt>
              </c:strCache>
            </c:strRef>
          </c:cat>
          <c:val>
            <c:numRef>
              <c:f>Planilha1!$D$2:$D$7</c:f>
              <c:numCache>
                <c:formatCode>General</c:formatCode>
                <c:ptCount val="6"/>
                <c:pt idx="0">
                  <c:v>27.3</c:v>
                </c:pt>
                <c:pt idx="1">
                  <c:v>30</c:v>
                </c:pt>
                <c:pt idx="2">
                  <c:v>-7.8</c:v>
                </c:pt>
                <c:pt idx="3">
                  <c:v>4.2</c:v>
                </c:pt>
                <c:pt idx="4">
                  <c:v>7.8</c:v>
                </c:pt>
                <c:pt idx="5">
                  <c:v>34.1</c:v>
                </c:pt>
              </c:numCache>
            </c:numRef>
          </c:val>
          <c:extLst>
            <c:ext xmlns:c16="http://schemas.microsoft.com/office/drawing/2014/chart" uri="{C3380CC4-5D6E-409C-BE32-E72D297353CC}">
              <c16:uniqueId val="{00000002-018B-8746-B4B8-2F1391A00045}"/>
            </c:ext>
          </c:extLst>
        </c:ser>
        <c:ser>
          <c:idx val="3"/>
          <c:order val="3"/>
          <c:tx>
            <c:strRef>
              <c:f>Planilha1!$E$1</c:f>
              <c:strCache>
                <c:ptCount val="1"/>
                <c:pt idx="0">
                  <c:v>Controls</c:v>
                </c:pt>
              </c:strCache>
            </c:strRef>
          </c:tx>
          <c:spPr>
            <a:solidFill>
              <a:schemeClr val="dk1">
                <a:tint val="98500"/>
              </a:schemeClr>
            </a:solidFill>
            <a:ln>
              <a:noFill/>
            </a:ln>
            <a:effectLst/>
          </c:spPr>
          <c:invertIfNegative val="0"/>
          <c:cat>
            <c:strRef>
              <c:f>Planilha1!$A$2:$A$7</c:f>
              <c:strCache>
                <c:ptCount val="6"/>
                <c:pt idx="0">
                  <c:v>Central sensitivity (dB)</c:v>
                </c:pt>
                <c:pt idx="1">
                  <c:v>Fovea (dB)</c:v>
                </c:pt>
                <c:pt idx="2">
                  <c:v>                                                                                                                                                                                                               MD (dB)</c:v>
                </c:pt>
                <c:pt idx="3">
                  <c:v>PSD (dB)</c:v>
                </c:pt>
                <c:pt idx="4">
                  <c:v>N1 amplitude (µV/deg2)</c:v>
                </c:pt>
                <c:pt idx="5">
                  <c:v>P1 amplitude (µV/deg2)</c:v>
                </c:pt>
              </c:strCache>
            </c:strRef>
          </c:cat>
          <c:val>
            <c:numRef>
              <c:f>Planilha1!$E$2:$E$7</c:f>
              <c:numCache>
                <c:formatCode>General</c:formatCode>
                <c:ptCount val="6"/>
                <c:pt idx="0">
                  <c:v>32.299999999999997</c:v>
                </c:pt>
                <c:pt idx="1">
                  <c:v>35.799999999999997</c:v>
                </c:pt>
                <c:pt idx="2">
                  <c:v>-1.5</c:v>
                </c:pt>
                <c:pt idx="3">
                  <c:v>1.6</c:v>
                </c:pt>
                <c:pt idx="4">
                  <c:v>12.5</c:v>
                </c:pt>
                <c:pt idx="5">
                  <c:v>47.7</c:v>
                </c:pt>
              </c:numCache>
            </c:numRef>
          </c:val>
          <c:extLst>
            <c:ext xmlns:c16="http://schemas.microsoft.com/office/drawing/2014/chart" uri="{C3380CC4-5D6E-409C-BE32-E72D297353CC}">
              <c16:uniqueId val="{00000003-018B-8746-B4B8-2F1391A00045}"/>
            </c:ext>
          </c:extLst>
        </c:ser>
        <c:dLbls>
          <c:showLegendKey val="0"/>
          <c:showVal val="0"/>
          <c:showCatName val="0"/>
          <c:showSerName val="0"/>
          <c:showPercent val="0"/>
          <c:showBubbleSize val="0"/>
        </c:dLbls>
        <c:gapWidth val="219"/>
        <c:overlap val="-27"/>
        <c:axId val="2072827144"/>
        <c:axId val="2118465624"/>
      </c:barChart>
      <c:catAx>
        <c:axId val="207282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pt-BR"/>
          </a:p>
        </c:txPr>
        <c:crossAx val="2118465624"/>
        <c:crosses val="autoZero"/>
        <c:auto val="1"/>
        <c:lblAlgn val="ctr"/>
        <c:lblOffset val="100"/>
        <c:noMultiLvlLbl val="0"/>
      </c:catAx>
      <c:valAx>
        <c:axId val="2118465624"/>
        <c:scaling>
          <c:orientation val="minMax"/>
          <c:max val="5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2827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5B92-925F-7E4C-966C-9EA51BE8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25469</Words>
  <Characters>137538</Characters>
  <Application>Microsoft Office Word</Application>
  <DocSecurity>0</DocSecurity>
  <Lines>1146</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Souto</dc:creator>
  <cp:keywords/>
  <dc:description/>
  <cp:lastModifiedBy>Fernanda Souto</cp:lastModifiedBy>
  <cp:revision>3</cp:revision>
  <dcterms:created xsi:type="dcterms:W3CDTF">2020-02-03T01:54:00Z</dcterms:created>
  <dcterms:modified xsi:type="dcterms:W3CDTF">2020-02-03T01:57:00Z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http://www.zotero.org/styles/documenta-ophthalmologica</vt:lpwstr>
  </property>
  <property fmtid="{D5CDD505-2E9C-101B-9397-08002B2CF9AE}" pid="13" name="Mendeley Recent Style Name 5_1">
    <vt:lpwstr>Documenta Ophthalmologica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http://www.zotero.org/styles/associacao-brasileira-de-normas-tecnicas-ufmg-face-full</vt:lpwstr>
  </property>
  <property fmtid="{D5CDD505-2E9C-101B-9397-08002B2CF9AE}" pid="19" name="Mendeley Recent Style Name 8_1">
    <vt:lpwstr>Universidade Federal de Minas Gerais - Faculdade de Ciências Econômicas - ABNT (autoria completa) (Portuguese - Brazil)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593b2524-2d83-309b-ba3e-61e8aefb1aef</vt:lpwstr>
  </property>
  <property fmtid="{D5CDD505-2E9C-101B-9397-08002B2CF9AE}" pid="24" name="Mendeley Citation Style_1">
    <vt:lpwstr>http://www.zotero.org/styles/documenta-ophthalmologica</vt:lpwstr>
  </property>
</Properties>
</file>